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85B87" w14:paraId="08C89722" w14:textId="77777777">
        <w:trPr>
          <w:tblCellSpacing w:w="60" w:type="dxa"/>
        </w:trPr>
        <w:tc>
          <w:tcPr>
            <w:tcW w:w="1200" w:type="pct"/>
            <w:shd w:val="clear" w:color="auto" w:fill="E7F0F9"/>
          </w:tcPr>
          <w:p w14:paraId="63ADCB1D" w14:textId="77777777" w:rsidR="00285B87" w:rsidRDefault="009C1AF2">
            <w:pPr>
              <w:spacing w:after="0" w:line="240" w:lineRule="auto"/>
            </w:pPr>
            <w:r>
              <w:rPr>
                <w:b/>
              </w:rPr>
              <w:t>RKP broj</w:t>
            </w:r>
          </w:p>
        </w:tc>
        <w:tc>
          <w:tcPr>
            <w:tcW w:w="0" w:type="auto"/>
            <w:shd w:val="clear" w:color="auto" w:fill="E7F0F9"/>
          </w:tcPr>
          <w:p w14:paraId="1D5609F4" w14:textId="77777777" w:rsidR="00285B87" w:rsidRDefault="009C1AF2">
            <w:pPr>
              <w:spacing w:after="0" w:line="240" w:lineRule="auto"/>
            </w:pPr>
            <w:r>
              <w:t>24168</w:t>
            </w:r>
          </w:p>
        </w:tc>
      </w:tr>
      <w:tr w:rsidR="00285B87" w14:paraId="01AFEF1C" w14:textId="77777777">
        <w:trPr>
          <w:tblCellSpacing w:w="60" w:type="dxa"/>
        </w:trPr>
        <w:tc>
          <w:tcPr>
            <w:tcW w:w="1200" w:type="pct"/>
            <w:shd w:val="clear" w:color="auto" w:fill="E7F0F9"/>
          </w:tcPr>
          <w:p w14:paraId="125A9D64" w14:textId="77777777" w:rsidR="00285B87" w:rsidRDefault="009C1AF2">
            <w:pPr>
              <w:spacing w:after="0" w:line="240" w:lineRule="auto"/>
            </w:pPr>
            <w:r>
              <w:rPr>
                <w:b/>
              </w:rPr>
              <w:t>Naziv obveznika</w:t>
            </w:r>
          </w:p>
        </w:tc>
        <w:tc>
          <w:tcPr>
            <w:tcW w:w="0" w:type="auto"/>
            <w:shd w:val="clear" w:color="auto" w:fill="E7F0F9"/>
          </w:tcPr>
          <w:p w14:paraId="3954B4FC" w14:textId="77777777" w:rsidR="00285B87" w:rsidRDefault="009C1AF2">
            <w:pPr>
              <w:spacing w:after="0" w:line="240" w:lineRule="auto"/>
            </w:pPr>
            <w:r>
              <w:t>SREDIŠNJI REGISTAR OSIGURANIKA</w:t>
            </w:r>
          </w:p>
        </w:tc>
      </w:tr>
      <w:tr w:rsidR="00285B87" w14:paraId="038F4011" w14:textId="77777777">
        <w:trPr>
          <w:tblCellSpacing w:w="60" w:type="dxa"/>
        </w:trPr>
        <w:tc>
          <w:tcPr>
            <w:tcW w:w="1200" w:type="pct"/>
            <w:shd w:val="clear" w:color="auto" w:fill="E7F0F9"/>
          </w:tcPr>
          <w:p w14:paraId="5574A431" w14:textId="77777777" w:rsidR="00285B87" w:rsidRDefault="009C1AF2">
            <w:pPr>
              <w:spacing w:after="0" w:line="240" w:lineRule="auto"/>
            </w:pPr>
            <w:r>
              <w:rPr>
                <w:b/>
              </w:rPr>
              <w:t>Razina</w:t>
            </w:r>
          </w:p>
        </w:tc>
        <w:tc>
          <w:tcPr>
            <w:tcW w:w="0" w:type="auto"/>
            <w:shd w:val="clear" w:color="auto" w:fill="E7F0F9"/>
          </w:tcPr>
          <w:p w14:paraId="76CBCD48" w14:textId="77777777" w:rsidR="00285B87" w:rsidRDefault="009C1AF2">
            <w:pPr>
              <w:spacing w:after="0" w:line="240" w:lineRule="auto"/>
            </w:pPr>
            <w:r>
              <w:t>11</w:t>
            </w:r>
          </w:p>
        </w:tc>
      </w:tr>
    </w:tbl>
    <w:p w14:paraId="299977DC" w14:textId="36D57F2F" w:rsidR="00285B87" w:rsidRDefault="00285B87"/>
    <w:p w14:paraId="7F9808C9" w14:textId="77777777" w:rsidR="00285B87" w:rsidRDefault="009C1AF2">
      <w:pPr>
        <w:spacing w:line="240" w:lineRule="auto"/>
        <w:jc w:val="center"/>
      </w:pPr>
      <w:r>
        <w:rPr>
          <w:b/>
          <w:sz w:val="28"/>
        </w:rPr>
        <w:t>BILJEŠKE UZ FINANCIJSKE IZVJEŠTAJE</w:t>
      </w:r>
    </w:p>
    <w:p w14:paraId="06960D5F" w14:textId="77777777" w:rsidR="00285B87" w:rsidRDefault="009C1AF2">
      <w:pPr>
        <w:spacing w:line="240" w:lineRule="auto"/>
        <w:jc w:val="center"/>
      </w:pPr>
      <w:r>
        <w:rPr>
          <w:b/>
          <w:sz w:val="28"/>
        </w:rPr>
        <w:t>ZA RAZDOBLJE</w:t>
      </w:r>
    </w:p>
    <w:p w14:paraId="458B9CD9" w14:textId="77777777" w:rsidR="00285B87" w:rsidRDefault="009C1AF2">
      <w:pPr>
        <w:spacing w:line="240" w:lineRule="auto"/>
        <w:jc w:val="center"/>
      </w:pPr>
      <w:r>
        <w:rPr>
          <w:b/>
          <w:sz w:val="28"/>
        </w:rPr>
        <w:t>I - XII 2025.</w:t>
      </w:r>
    </w:p>
    <w:p w14:paraId="4973023B" w14:textId="77777777" w:rsidR="00285B87" w:rsidRDefault="009C1AF2">
      <w:pPr>
        <w:keepNext/>
        <w:spacing w:line="240" w:lineRule="auto"/>
        <w:jc w:val="center"/>
      </w:pPr>
      <w:r>
        <w:rPr>
          <w:b/>
          <w:sz w:val="28"/>
        </w:rPr>
        <w:t>Izvještaj o prihodima i rashodima, primicima i izdacima</w:t>
      </w:r>
    </w:p>
    <w:p w14:paraId="5C296FB1" w14:textId="77777777" w:rsidR="00285B87" w:rsidRDefault="009C1AF2">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339A428B" w14:textId="77777777">
        <w:trPr>
          <w:cantSplit/>
        </w:trPr>
        <w:tc>
          <w:tcPr>
            <w:tcW w:w="700" w:type="dxa"/>
            <w:shd w:val="clear" w:color="auto" w:fill="E7F0F9"/>
            <w:tcMar>
              <w:top w:w="0" w:type="dxa"/>
              <w:bottom w:w="0" w:type="dxa"/>
            </w:tcMar>
            <w:vAlign w:val="center"/>
          </w:tcPr>
          <w:p w14:paraId="3CAEC679"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00DC63"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37FED"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FAF9E" w14:textId="77777777" w:rsidR="00285B87" w:rsidRDefault="009C1A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11870" w14:textId="77777777" w:rsidR="00285B87" w:rsidRDefault="009C1A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336AF0" w14:textId="77777777" w:rsidR="00285B87" w:rsidRDefault="009C1AF2">
            <w:pPr>
              <w:keepNext/>
              <w:keepLines/>
              <w:spacing w:after="0" w:line="240" w:lineRule="auto"/>
              <w:jc w:val="center"/>
            </w:pPr>
            <w:r>
              <w:rPr>
                <w:b/>
                <w:sz w:val="18"/>
              </w:rPr>
              <w:t>Indeks (%)</w:t>
            </w:r>
          </w:p>
        </w:tc>
      </w:tr>
      <w:tr w:rsidR="00285B87" w14:paraId="563F8AF9" w14:textId="77777777">
        <w:trPr>
          <w:cantSplit/>
          <w:trHeight w:val="560"/>
        </w:trPr>
        <w:tc>
          <w:tcPr>
            <w:tcW w:w="700" w:type="dxa"/>
            <w:tcMar>
              <w:top w:w="0" w:type="dxa"/>
              <w:bottom w:w="0" w:type="dxa"/>
            </w:tcMar>
            <w:vAlign w:val="center"/>
          </w:tcPr>
          <w:p w14:paraId="3FF7A1AB" w14:textId="77777777" w:rsidR="00285B87" w:rsidRDefault="009C1AF2">
            <w:pPr>
              <w:keepNext/>
              <w:keepLines/>
              <w:spacing w:after="0" w:line="240" w:lineRule="auto"/>
            </w:pPr>
            <w:r>
              <w:rPr>
                <w:sz w:val="18"/>
              </w:rPr>
              <w:t>6</w:t>
            </w:r>
          </w:p>
        </w:tc>
        <w:tc>
          <w:tcPr>
            <w:tcW w:w="3180" w:type="dxa"/>
            <w:tcMar>
              <w:top w:w="0" w:type="dxa"/>
              <w:bottom w:w="0" w:type="dxa"/>
            </w:tcMar>
            <w:vAlign w:val="center"/>
          </w:tcPr>
          <w:p w14:paraId="1A01E86D" w14:textId="77777777" w:rsidR="00285B87" w:rsidRDefault="009C1AF2">
            <w:pPr>
              <w:keepNext/>
              <w:keepLines/>
              <w:spacing w:after="0" w:line="240" w:lineRule="auto"/>
            </w:pPr>
            <w:r>
              <w:rPr>
                <w:sz w:val="18"/>
              </w:rPr>
              <w:t>PRIHODI POSLOVANJA (šifre 61+62+63+64+65+66+67+68)</w:t>
            </w:r>
          </w:p>
        </w:tc>
        <w:tc>
          <w:tcPr>
            <w:tcW w:w="700" w:type="dxa"/>
            <w:tcMar>
              <w:top w:w="0" w:type="dxa"/>
              <w:bottom w:w="0" w:type="dxa"/>
            </w:tcMar>
            <w:vAlign w:val="center"/>
          </w:tcPr>
          <w:p w14:paraId="563E6621" w14:textId="77777777" w:rsidR="00285B87" w:rsidRDefault="009C1AF2">
            <w:pPr>
              <w:keepNext/>
              <w:keepLines/>
              <w:spacing w:after="0" w:line="240" w:lineRule="auto"/>
            </w:pPr>
            <w:r>
              <w:rPr>
                <w:sz w:val="18"/>
              </w:rPr>
              <w:t>6</w:t>
            </w:r>
          </w:p>
        </w:tc>
        <w:tc>
          <w:tcPr>
            <w:tcW w:w="1860" w:type="dxa"/>
            <w:tcMar>
              <w:top w:w="0" w:type="dxa"/>
              <w:bottom w:w="0" w:type="dxa"/>
            </w:tcMar>
            <w:vAlign w:val="center"/>
          </w:tcPr>
          <w:p w14:paraId="32E0D33C" w14:textId="77777777" w:rsidR="00285B87" w:rsidRDefault="009C1AF2">
            <w:pPr>
              <w:keepNext/>
              <w:keepLines/>
              <w:spacing w:after="0" w:line="240" w:lineRule="auto"/>
              <w:jc w:val="right"/>
            </w:pPr>
            <w:r>
              <w:rPr>
                <w:sz w:val="18"/>
              </w:rPr>
              <w:t>10.992.337,42</w:t>
            </w:r>
          </w:p>
        </w:tc>
        <w:tc>
          <w:tcPr>
            <w:tcW w:w="1860" w:type="dxa"/>
            <w:tcMar>
              <w:top w:w="0" w:type="dxa"/>
              <w:bottom w:w="0" w:type="dxa"/>
            </w:tcMar>
            <w:vAlign w:val="center"/>
          </w:tcPr>
          <w:p w14:paraId="76147711" w14:textId="77777777" w:rsidR="00285B87" w:rsidRDefault="009C1AF2">
            <w:pPr>
              <w:keepNext/>
              <w:keepLines/>
              <w:spacing w:after="0" w:line="240" w:lineRule="auto"/>
              <w:jc w:val="right"/>
            </w:pPr>
            <w:r>
              <w:rPr>
                <w:sz w:val="18"/>
              </w:rPr>
              <w:t>12.655.508,95</w:t>
            </w:r>
          </w:p>
        </w:tc>
        <w:tc>
          <w:tcPr>
            <w:tcW w:w="700" w:type="dxa"/>
            <w:tcMar>
              <w:top w:w="0" w:type="dxa"/>
              <w:bottom w:w="0" w:type="dxa"/>
            </w:tcMar>
            <w:vAlign w:val="center"/>
          </w:tcPr>
          <w:p w14:paraId="0A28B1F4" w14:textId="77777777" w:rsidR="00285B87" w:rsidRDefault="009C1AF2">
            <w:pPr>
              <w:keepNext/>
              <w:keepLines/>
              <w:spacing w:after="0" w:line="240" w:lineRule="auto"/>
              <w:jc w:val="right"/>
            </w:pPr>
            <w:r>
              <w:rPr>
                <w:sz w:val="18"/>
              </w:rPr>
              <w:t>115,1</w:t>
            </w:r>
          </w:p>
        </w:tc>
      </w:tr>
      <w:tr w:rsidR="00285B87" w14:paraId="5CE9FEC9" w14:textId="77777777">
        <w:trPr>
          <w:cantSplit/>
          <w:trHeight w:val="560"/>
        </w:trPr>
        <w:tc>
          <w:tcPr>
            <w:tcW w:w="700" w:type="dxa"/>
            <w:tcMar>
              <w:top w:w="0" w:type="dxa"/>
              <w:bottom w:w="0" w:type="dxa"/>
            </w:tcMar>
            <w:vAlign w:val="center"/>
          </w:tcPr>
          <w:p w14:paraId="5EC3482C" w14:textId="77777777" w:rsidR="00285B87" w:rsidRDefault="009C1AF2">
            <w:pPr>
              <w:keepNext/>
              <w:keepLines/>
              <w:spacing w:after="0" w:line="240" w:lineRule="auto"/>
            </w:pPr>
            <w:r>
              <w:rPr>
                <w:sz w:val="18"/>
              </w:rPr>
              <w:t>3</w:t>
            </w:r>
          </w:p>
        </w:tc>
        <w:tc>
          <w:tcPr>
            <w:tcW w:w="3180" w:type="dxa"/>
            <w:tcMar>
              <w:top w:w="0" w:type="dxa"/>
              <w:bottom w:w="0" w:type="dxa"/>
            </w:tcMar>
            <w:vAlign w:val="center"/>
          </w:tcPr>
          <w:p w14:paraId="04B4B866" w14:textId="77777777" w:rsidR="00285B87" w:rsidRDefault="009C1AF2">
            <w:pPr>
              <w:keepNext/>
              <w:keepLines/>
              <w:spacing w:after="0" w:line="240" w:lineRule="auto"/>
            </w:pPr>
            <w:r>
              <w:rPr>
                <w:sz w:val="18"/>
              </w:rPr>
              <w:t>RASHODI POSLOVANJA (šifre 31+32+34+35+36+37+38)</w:t>
            </w:r>
          </w:p>
        </w:tc>
        <w:tc>
          <w:tcPr>
            <w:tcW w:w="700" w:type="dxa"/>
            <w:tcMar>
              <w:top w:w="0" w:type="dxa"/>
              <w:bottom w:w="0" w:type="dxa"/>
            </w:tcMar>
            <w:vAlign w:val="center"/>
          </w:tcPr>
          <w:p w14:paraId="2412D090" w14:textId="77777777" w:rsidR="00285B87" w:rsidRDefault="009C1AF2">
            <w:pPr>
              <w:keepNext/>
              <w:keepLines/>
              <w:spacing w:after="0" w:line="240" w:lineRule="auto"/>
            </w:pPr>
            <w:r>
              <w:rPr>
                <w:sz w:val="18"/>
              </w:rPr>
              <w:t>3</w:t>
            </w:r>
          </w:p>
        </w:tc>
        <w:tc>
          <w:tcPr>
            <w:tcW w:w="1860" w:type="dxa"/>
            <w:tcMar>
              <w:top w:w="0" w:type="dxa"/>
              <w:bottom w:w="0" w:type="dxa"/>
            </w:tcMar>
            <w:vAlign w:val="center"/>
          </w:tcPr>
          <w:p w14:paraId="00D7DDF0" w14:textId="77777777" w:rsidR="00285B87" w:rsidRDefault="009C1AF2">
            <w:pPr>
              <w:keepNext/>
              <w:keepLines/>
              <w:spacing w:after="0" w:line="240" w:lineRule="auto"/>
              <w:jc w:val="right"/>
            </w:pPr>
            <w:r>
              <w:rPr>
                <w:sz w:val="18"/>
              </w:rPr>
              <w:t>9.591.586,71</w:t>
            </w:r>
          </w:p>
        </w:tc>
        <w:tc>
          <w:tcPr>
            <w:tcW w:w="1860" w:type="dxa"/>
            <w:tcMar>
              <w:top w:w="0" w:type="dxa"/>
              <w:bottom w:w="0" w:type="dxa"/>
            </w:tcMar>
            <w:vAlign w:val="center"/>
          </w:tcPr>
          <w:p w14:paraId="7469E772" w14:textId="77777777" w:rsidR="00285B87" w:rsidRDefault="009C1AF2">
            <w:pPr>
              <w:keepNext/>
              <w:keepLines/>
              <w:spacing w:after="0" w:line="240" w:lineRule="auto"/>
              <w:jc w:val="right"/>
            </w:pPr>
            <w:r>
              <w:rPr>
                <w:sz w:val="18"/>
              </w:rPr>
              <w:t>10.545.895,93</w:t>
            </w:r>
          </w:p>
        </w:tc>
        <w:tc>
          <w:tcPr>
            <w:tcW w:w="700" w:type="dxa"/>
            <w:tcMar>
              <w:top w:w="0" w:type="dxa"/>
              <w:bottom w:w="0" w:type="dxa"/>
            </w:tcMar>
            <w:vAlign w:val="center"/>
          </w:tcPr>
          <w:p w14:paraId="1DE10783" w14:textId="77777777" w:rsidR="00285B87" w:rsidRDefault="009C1AF2">
            <w:pPr>
              <w:keepNext/>
              <w:keepLines/>
              <w:spacing w:after="0" w:line="240" w:lineRule="auto"/>
              <w:jc w:val="right"/>
            </w:pPr>
            <w:r>
              <w:rPr>
                <w:sz w:val="18"/>
              </w:rPr>
              <w:t>109,9</w:t>
            </w:r>
          </w:p>
        </w:tc>
      </w:tr>
      <w:tr w:rsidR="00285B87" w14:paraId="1DDFC046" w14:textId="77777777">
        <w:trPr>
          <w:cantSplit/>
          <w:trHeight w:val="560"/>
        </w:trPr>
        <w:tc>
          <w:tcPr>
            <w:tcW w:w="700" w:type="dxa"/>
            <w:tcMar>
              <w:top w:w="0" w:type="dxa"/>
              <w:bottom w:w="0" w:type="dxa"/>
            </w:tcMar>
            <w:vAlign w:val="center"/>
          </w:tcPr>
          <w:p w14:paraId="17E048D4" w14:textId="77777777" w:rsidR="00285B87" w:rsidRDefault="00285B87">
            <w:pPr>
              <w:keepNext/>
              <w:keepLines/>
              <w:spacing w:after="0" w:line="240" w:lineRule="auto"/>
            </w:pPr>
          </w:p>
        </w:tc>
        <w:tc>
          <w:tcPr>
            <w:tcW w:w="3180" w:type="dxa"/>
            <w:tcMar>
              <w:top w:w="0" w:type="dxa"/>
              <w:bottom w:w="0" w:type="dxa"/>
            </w:tcMar>
            <w:vAlign w:val="center"/>
          </w:tcPr>
          <w:p w14:paraId="12569E66" w14:textId="77777777" w:rsidR="00285B87" w:rsidRDefault="009C1AF2">
            <w:pPr>
              <w:keepNext/>
              <w:keepLines/>
              <w:spacing w:after="0" w:line="240" w:lineRule="auto"/>
            </w:pPr>
            <w:r>
              <w:rPr>
                <w:b/>
                <w:sz w:val="18"/>
              </w:rPr>
              <w:t>VIŠAK PRIHODA POSLOVANJA (šifre 6-Z005)</w:t>
            </w:r>
          </w:p>
        </w:tc>
        <w:tc>
          <w:tcPr>
            <w:tcW w:w="700" w:type="dxa"/>
            <w:tcMar>
              <w:top w:w="0" w:type="dxa"/>
              <w:bottom w:w="0" w:type="dxa"/>
            </w:tcMar>
            <w:vAlign w:val="center"/>
          </w:tcPr>
          <w:p w14:paraId="20075712" w14:textId="77777777" w:rsidR="00285B87" w:rsidRDefault="009C1AF2">
            <w:pPr>
              <w:keepNext/>
              <w:keepLines/>
              <w:spacing w:after="0" w:line="240" w:lineRule="auto"/>
            </w:pPr>
            <w:r>
              <w:rPr>
                <w:b/>
                <w:sz w:val="18"/>
              </w:rPr>
              <w:t>X001</w:t>
            </w:r>
          </w:p>
        </w:tc>
        <w:tc>
          <w:tcPr>
            <w:tcW w:w="1860" w:type="dxa"/>
            <w:tcMar>
              <w:top w:w="0" w:type="dxa"/>
              <w:bottom w:w="0" w:type="dxa"/>
            </w:tcMar>
            <w:vAlign w:val="center"/>
          </w:tcPr>
          <w:p w14:paraId="54A400DD" w14:textId="77777777" w:rsidR="00285B87" w:rsidRDefault="009C1AF2">
            <w:pPr>
              <w:keepNext/>
              <w:keepLines/>
              <w:spacing w:after="0" w:line="240" w:lineRule="auto"/>
              <w:jc w:val="right"/>
            </w:pPr>
            <w:r>
              <w:rPr>
                <w:b/>
                <w:sz w:val="18"/>
              </w:rPr>
              <w:t>1.400.750,71</w:t>
            </w:r>
          </w:p>
        </w:tc>
        <w:tc>
          <w:tcPr>
            <w:tcW w:w="1860" w:type="dxa"/>
            <w:tcMar>
              <w:top w:w="0" w:type="dxa"/>
              <w:bottom w:w="0" w:type="dxa"/>
            </w:tcMar>
            <w:vAlign w:val="center"/>
          </w:tcPr>
          <w:p w14:paraId="32C20862" w14:textId="77777777" w:rsidR="00285B87" w:rsidRDefault="009C1AF2">
            <w:pPr>
              <w:keepNext/>
              <w:keepLines/>
              <w:spacing w:after="0" w:line="240" w:lineRule="auto"/>
              <w:jc w:val="right"/>
            </w:pPr>
            <w:r>
              <w:rPr>
                <w:b/>
                <w:sz w:val="18"/>
              </w:rPr>
              <w:t>2.109.613,02</w:t>
            </w:r>
          </w:p>
        </w:tc>
        <w:tc>
          <w:tcPr>
            <w:tcW w:w="700" w:type="dxa"/>
            <w:tcMar>
              <w:top w:w="0" w:type="dxa"/>
              <w:bottom w:w="0" w:type="dxa"/>
            </w:tcMar>
            <w:vAlign w:val="center"/>
          </w:tcPr>
          <w:p w14:paraId="58C8793B" w14:textId="77777777" w:rsidR="00285B87" w:rsidRDefault="009C1AF2">
            <w:pPr>
              <w:keepNext/>
              <w:keepLines/>
              <w:spacing w:after="0" w:line="240" w:lineRule="auto"/>
              <w:jc w:val="right"/>
            </w:pPr>
            <w:r>
              <w:rPr>
                <w:b/>
                <w:sz w:val="18"/>
              </w:rPr>
              <w:t>150,6</w:t>
            </w:r>
          </w:p>
        </w:tc>
      </w:tr>
      <w:tr w:rsidR="00285B87" w14:paraId="4567831E" w14:textId="77777777">
        <w:trPr>
          <w:cantSplit/>
          <w:trHeight w:val="560"/>
        </w:trPr>
        <w:tc>
          <w:tcPr>
            <w:tcW w:w="700" w:type="dxa"/>
            <w:tcMar>
              <w:top w:w="0" w:type="dxa"/>
              <w:bottom w:w="0" w:type="dxa"/>
            </w:tcMar>
            <w:vAlign w:val="center"/>
          </w:tcPr>
          <w:p w14:paraId="2BE0103A" w14:textId="77777777" w:rsidR="00285B87" w:rsidRDefault="009C1AF2">
            <w:pPr>
              <w:keepNext/>
              <w:keepLines/>
              <w:spacing w:after="0" w:line="240" w:lineRule="auto"/>
            </w:pPr>
            <w:r>
              <w:rPr>
                <w:sz w:val="18"/>
              </w:rPr>
              <w:t>7</w:t>
            </w:r>
          </w:p>
        </w:tc>
        <w:tc>
          <w:tcPr>
            <w:tcW w:w="3180" w:type="dxa"/>
            <w:tcMar>
              <w:top w:w="0" w:type="dxa"/>
              <w:bottom w:w="0" w:type="dxa"/>
            </w:tcMar>
            <w:vAlign w:val="center"/>
          </w:tcPr>
          <w:p w14:paraId="4DDB4FE5" w14:textId="77777777" w:rsidR="00285B87" w:rsidRDefault="009C1AF2">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194E153" w14:textId="77777777" w:rsidR="00285B87" w:rsidRDefault="009C1AF2">
            <w:pPr>
              <w:keepNext/>
              <w:keepLines/>
              <w:spacing w:after="0" w:line="240" w:lineRule="auto"/>
            </w:pPr>
            <w:r>
              <w:rPr>
                <w:sz w:val="18"/>
              </w:rPr>
              <w:t>7</w:t>
            </w:r>
          </w:p>
        </w:tc>
        <w:tc>
          <w:tcPr>
            <w:tcW w:w="1860" w:type="dxa"/>
            <w:tcMar>
              <w:top w:w="0" w:type="dxa"/>
              <w:bottom w:w="0" w:type="dxa"/>
            </w:tcMar>
            <w:vAlign w:val="center"/>
          </w:tcPr>
          <w:p w14:paraId="779524E2" w14:textId="77777777" w:rsidR="00285B87" w:rsidRDefault="009C1AF2">
            <w:pPr>
              <w:keepNext/>
              <w:keepLines/>
              <w:spacing w:after="0" w:line="240" w:lineRule="auto"/>
              <w:jc w:val="right"/>
            </w:pPr>
            <w:r>
              <w:rPr>
                <w:sz w:val="18"/>
              </w:rPr>
              <w:t>0,00</w:t>
            </w:r>
          </w:p>
        </w:tc>
        <w:tc>
          <w:tcPr>
            <w:tcW w:w="1860" w:type="dxa"/>
            <w:tcMar>
              <w:top w:w="0" w:type="dxa"/>
              <w:bottom w:w="0" w:type="dxa"/>
            </w:tcMar>
            <w:vAlign w:val="center"/>
          </w:tcPr>
          <w:p w14:paraId="2FB4FC7F" w14:textId="77777777" w:rsidR="00285B87" w:rsidRDefault="009C1AF2">
            <w:pPr>
              <w:keepNext/>
              <w:keepLines/>
              <w:spacing w:after="0" w:line="240" w:lineRule="auto"/>
              <w:jc w:val="right"/>
            </w:pPr>
            <w:r>
              <w:rPr>
                <w:sz w:val="18"/>
              </w:rPr>
              <w:t>0,00</w:t>
            </w:r>
          </w:p>
        </w:tc>
        <w:tc>
          <w:tcPr>
            <w:tcW w:w="700" w:type="dxa"/>
            <w:tcMar>
              <w:top w:w="0" w:type="dxa"/>
              <w:bottom w:w="0" w:type="dxa"/>
            </w:tcMar>
            <w:vAlign w:val="center"/>
          </w:tcPr>
          <w:p w14:paraId="4D475A7E" w14:textId="77777777" w:rsidR="00285B87" w:rsidRDefault="009C1AF2">
            <w:pPr>
              <w:keepNext/>
              <w:keepLines/>
              <w:spacing w:after="0" w:line="240" w:lineRule="auto"/>
              <w:jc w:val="right"/>
            </w:pPr>
            <w:r>
              <w:rPr>
                <w:sz w:val="18"/>
              </w:rPr>
              <w:t>-</w:t>
            </w:r>
          </w:p>
        </w:tc>
      </w:tr>
      <w:tr w:rsidR="00285B87" w14:paraId="10527B38" w14:textId="77777777">
        <w:trPr>
          <w:cantSplit/>
          <w:trHeight w:val="560"/>
        </w:trPr>
        <w:tc>
          <w:tcPr>
            <w:tcW w:w="700" w:type="dxa"/>
            <w:tcMar>
              <w:top w:w="0" w:type="dxa"/>
              <w:bottom w:w="0" w:type="dxa"/>
            </w:tcMar>
            <w:vAlign w:val="center"/>
          </w:tcPr>
          <w:p w14:paraId="2F1DEC98" w14:textId="77777777" w:rsidR="00285B87" w:rsidRDefault="009C1AF2">
            <w:pPr>
              <w:keepNext/>
              <w:keepLines/>
              <w:spacing w:after="0" w:line="240" w:lineRule="auto"/>
            </w:pPr>
            <w:r>
              <w:rPr>
                <w:sz w:val="18"/>
              </w:rPr>
              <w:t>4</w:t>
            </w:r>
          </w:p>
        </w:tc>
        <w:tc>
          <w:tcPr>
            <w:tcW w:w="3180" w:type="dxa"/>
            <w:tcMar>
              <w:top w:w="0" w:type="dxa"/>
              <w:bottom w:w="0" w:type="dxa"/>
            </w:tcMar>
            <w:vAlign w:val="center"/>
          </w:tcPr>
          <w:p w14:paraId="2A0A3CC4" w14:textId="77777777" w:rsidR="00285B87" w:rsidRDefault="009C1AF2">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5C9F1DC" w14:textId="77777777" w:rsidR="00285B87" w:rsidRDefault="009C1AF2">
            <w:pPr>
              <w:keepNext/>
              <w:keepLines/>
              <w:spacing w:after="0" w:line="240" w:lineRule="auto"/>
            </w:pPr>
            <w:r>
              <w:rPr>
                <w:sz w:val="18"/>
              </w:rPr>
              <w:t>4</w:t>
            </w:r>
          </w:p>
        </w:tc>
        <w:tc>
          <w:tcPr>
            <w:tcW w:w="1860" w:type="dxa"/>
            <w:tcMar>
              <w:top w:w="0" w:type="dxa"/>
              <w:bottom w:w="0" w:type="dxa"/>
            </w:tcMar>
            <w:vAlign w:val="center"/>
          </w:tcPr>
          <w:p w14:paraId="0F5069C7" w14:textId="77777777" w:rsidR="00285B87" w:rsidRDefault="009C1AF2">
            <w:pPr>
              <w:keepNext/>
              <w:keepLines/>
              <w:spacing w:after="0" w:line="240" w:lineRule="auto"/>
              <w:jc w:val="right"/>
            </w:pPr>
            <w:r>
              <w:rPr>
                <w:sz w:val="18"/>
              </w:rPr>
              <w:t>276.266,47</w:t>
            </w:r>
          </w:p>
        </w:tc>
        <w:tc>
          <w:tcPr>
            <w:tcW w:w="1860" w:type="dxa"/>
            <w:tcMar>
              <w:top w:w="0" w:type="dxa"/>
              <w:bottom w:w="0" w:type="dxa"/>
            </w:tcMar>
            <w:vAlign w:val="center"/>
          </w:tcPr>
          <w:p w14:paraId="1AF6BD81" w14:textId="77777777" w:rsidR="00285B87" w:rsidRDefault="009C1AF2">
            <w:pPr>
              <w:keepNext/>
              <w:keepLines/>
              <w:spacing w:after="0" w:line="240" w:lineRule="auto"/>
              <w:jc w:val="right"/>
            </w:pPr>
            <w:r>
              <w:rPr>
                <w:sz w:val="18"/>
              </w:rPr>
              <w:t>174.012,41</w:t>
            </w:r>
          </w:p>
        </w:tc>
        <w:tc>
          <w:tcPr>
            <w:tcW w:w="700" w:type="dxa"/>
            <w:tcMar>
              <w:top w:w="0" w:type="dxa"/>
              <w:bottom w:w="0" w:type="dxa"/>
            </w:tcMar>
            <w:vAlign w:val="center"/>
          </w:tcPr>
          <w:p w14:paraId="06D0B8E9" w14:textId="77777777" w:rsidR="00285B87" w:rsidRDefault="009C1AF2">
            <w:pPr>
              <w:keepNext/>
              <w:keepLines/>
              <w:spacing w:after="0" w:line="240" w:lineRule="auto"/>
              <w:jc w:val="right"/>
            </w:pPr>
            <w:r>
              <w:rPr>
                <w:sz w:val="18"/>
              </w:rPr>
              <w:t>63,0</w:t>
            </w:r>
          </w:p>
        </w:tc>
      </w:tr>
      <w:tr w:rsidR="00285B87" w14:paraId="19D15DCC" w14:textId="77777777">
        <w:trPr>
          <w:cantSplit/>
          <w:trHeight w:val="560"/>
        </w:trPr>
        <w:tc>
          <w:tcPr>
            <w:tcW w:w="700" w:type="dxa"/>
            <w:tcMar>
              <w:top w:w="0" w:type="dxa"/>
              <w:bottom w:w="0" w:type="dxa"/>
            </w:tcMar>
            <w:vAlign w:val="center"/>
          </w:tcPr>
          <w:p w14:paraId="474DCC24" w14:textId="77777777" w:rsidR="00285B87" w:rsidRDefault="00285B87">
            <w:pPr>
              <w:keepNext/>
              <w:keepLines/>
              <w:spacing w:after="0" w:line="240" w:lineRule="auto"/>
            </w:pPr>
          </w:p>
        </w:tc>
        <w:tc>
          <w:tcPr>
            <w:tcW w:w="3180" w:type="dxa"/>
            <w:tcMar>
              <w:top w:w="0" w:type="dxa"/>
              <w:bottom w:w="0" w:type="dxa"/>
            </w:tcMar>
            <w:vAlign w:val="center"/>
          </w:tcPr>
          <w:p w14:paraId="0E9D4EC8" w14:textId="77777777" w:rsidR="00285B87" w:rsidRDefault="009C1AF2">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3E40FFE" w14:textId="77777777" w:rsidR="00285B87" w:rsidRDefault="009C1AF2">
            <w:pPr>
              <w:keepNext/>
              <w:keepLines/>
              <w:spacing w:after="0" w:line="240" w:lineRule="auto"/>
            </w:pPr>
            <w:r>
              <w:rPr>
                <w:b/>
                <w:sz w:val="18"/>
              </w:rPr>
              <w:t>Y002</w:t>
            </w:r>
          </w:p>
        </w:tc>
        <w:tc>
          <w:tcPr>
            <w:tcW w:w="1860" w:type="dxa"/>
            <w:tcMar>
              <w:top w:w="0" w:type="dxa"/>
              <w:bottom w:w="0" w:type="dxa"/>
            </w:tcMar>
            <w:vAlign w:val="center"/>
          </w:tcPr>
          <w:p w14:paraId="1F466C1A" w14:textId="77777777" w:rsidR="00285B87" w:rsidRDefault="009C1AF2">
            <w:pPr>
              <w:keepNext/>
              <w:keepLines/>
              <w:spacing w:after="0" w:line="240" w:lineRule="auto"/>
              <w:jc w:val="right"/>
            </w:pPr>
            <w:r>
              <w:rPr>
                <w:b/>
                <w:sz w:val="18"/>
              </w:rPr>
              <w:t>276.266,47</w:t>
            </w:r>
          </w:p>
        </w:tc>
        <w:tc>
          <w:tcPr>
            <w:tcW w:w="1860" w:type="dxa"/>
            <w:tcMar>
              <w:top w:w="0" w:type="dxa"/>
              <w:bottom w:w="0" w:type="dxa"/>
            </w:tcMar>
            <w:vAlign w:val="center"/>
          </w:tcPr>
          <w:p w14:paraId="6BADD957" w14:textId="77777777" w:rsidR="00285B87" w:rsidRDefault="009C1AF2">
            <w:pPr>
              <w:keepNext/>
              <w:keepLines/>
              <w:spacing w:after="0" w:line="240" w:lineRule="auto"/>
              <w:jc w:val="right"/>
            </w:pPr>
            <w:r>
              <w:rPr>
                <w:b/>
                <w:sz w:val="18"/>
              </w:rPr>
              <w:t>174.012,41</w:t>
            </w:r>
          </w:p>
        </w:tc>
        <w:tc>
          <w:tcPr>
            <w:tcW w:w="700" w:type="dxa"/>
            <w:tcMar>
              <w:top w:w="0" w:type="dxa"/>
              <w:bottom w:w="0" w:type="dxa"/>
            </w:tcMar>
            <w:vAlign w:val="center"/>
          </w:tcPr>
          <w:p w14:paraId="0777CBC8" w14:textId="77777777" w:rsidR="00285B87" w:rsidRDefault="009C1AF2">
            <w:pPr>
              <w:keepNext/>
              <w:keepLines/>
              <w:spacing w:after="0" w:line="240" w:lineRule="auto"/>
              <w:jc w:val="right"/>
            </w:pPr>
            <w:r>
              <w:rPr>
                <w:b/>
                <w:sz w:val="18"/>
              </w:rPr>
              <w:t>63,0</w:t>
            </w:r>
          </w:p>
        </w:tc>
      </w:tr>
      <w:tr w:rsidR="00285B87" w14:paraId="6A4738E1" w14:textId="77777777">
        <w:trPr>
          <w:cantSplit/>
          <w:trHeight w:val="560"/>
        </w:trPr>
        <w:tc>
          <w:tcPr>
            <w:tcW w:w="700" w:type="dxa"/>
            <w:tcMar>
              <w:top w:w="0" w:type="dxa"/>
              <w:bottom w:w="0" w:type="dxa"/>
            </w:tcMar>
            <w:vAlign w:val="center"/>
          </w:tcPr>
          <w:p w14:paraId="1008200C" w14:textId="77777777" w:rsidR="00285B87" w:rsidRDefault="009C1AF2">
            <w:pPr>
              <w:keepNext/>
              <w:keepLines/>
              <w:spacing w:after="0" w:line="240" w:lineRule="auto"/>
            </w:pPr>
            <w:r>
              <w:rPr>
                <w:sz w:val="18"/>
              </w:rPr>
              <w:t>8</w:t>
            </w:r>
          </w:p>
        </w:tc>
        <w:tc>
          <w:tcPr>
            <w:tcW w:w="3180" w:type="dxa"/>
            <w:tcMar>
              <w:top w:w="0" w:type="dxa"/>
              <w:bottom w:w="0" w:type="dxa"/>
            </w:tcMar>
            <w:vAlign w:val="center"/>
          </w:tcPr>
          <w:p w14:paraId="22C22409" w14:textId="77777777" w:rsidR="00285B87" w:rsidRDefault="009C1AF2">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CED1F2D" w14:textId="77777777" w:rsidR="00285B87" w:rsidRDefault="009C1AF2">
            <w:pPr>
              <w:keepNext/>
              <w:keepLines/>
              <w:spacing w:after="0" w:line="240" w:lineRule="auto"/>
            </w:pPr>
            <w:r>
              <w:rPr>
                <w:sz w:val="18"/>
              </w:rPr>
              <w:t>8</w:t>
            </w:r>
          </w:p>
        </w:tc>
        <w:tc>
          <w:tcPr>
            <w:tcW w:w="1860" w:type="dxa"/>
            <w:tcMar>
              <w:top w:w="0" w:type="dxa"/>
              <w:bottom w:w="0" w:type="dxa"/>
            </w:tcMar>
            <w:vAlign w:val="center"/>
          </w:tcPr>
          <w:p w14:paraId="7FD1B3C5" w14:textId="77777777" w:rsidR="00285B87" w:rsidRDefault="009C1AF2">
            <w:pPr>
              <w:keepNext/>
              <w:keepLines/>
              <w:spacing w:after="0" w:line="240" w:lineRule="auto"/>
              <w:jc w:val="right"/>
            </w:pPr>
            <w:r>
              <w:rPr>
                <w:sz w:val="18"/>
              </w:rPr>
              <w:t>0,00</w:t>
            </w:r>
          </w:p>
        </w:tc>
        <w:tc>
          <w:tcPr>
            <w:tcW w:w="1860" w:type="dxa"/>
            <w:tcMar>
              <w:top w:w="0" w:type="dxa"/>
              <w:bottom w:w="0" w:type="dxa"/>
            </w:tcMar>
            <w:vAlign w:val="center"/>
          </w:tcPr>
          <w:p w14:paraId="2AEA9623" w14:textId="77777777" w:rsidR="00285B87" w:rsidRDefault="009C1AF2">
            <w:pPr>
              <w:keepNext/>
              <w:keepLines/>
              <w:spacing w:after="0" w:line="240" w:lineRule="auto"/>
              <w:jc w:val="right"/>
            </w:pPr>
            <w:r>
              <w:rPr>
                <w:sz w:val="18"/>
              </w:rPr>
              <w:t>0,00</w:t>
            </w:r>
          </w:p>
        </w:tc>
        <w:tc>
          <w:tcPr>
            <w:tcW w:w="700" w:type="dxa"/>
            <w:tcMar>
              <w:top w:w="0" w:type="dxa"/>
              <w:bottom w:w="0" w:type="dxa"/>
            </w:tcMar>
            <w:vAlign w:val="center"/>
          </w:tcPr>
          <w:p w14:paraId="048E8314" w14:textId="77777777" w:rsidR="00285B87" w:rsidRDefault="009C1AF2">
            <w:pPr>
              <w:keepNext/>
              <w:keepLines/>
              <w:spacing w:after="0" w:line="240" w:lineRule="auto"/>
              <w:jc w:val="right"/>
            </w:pPr>
            <w:r>
              <w:rPr>
                <w:sz w:val="18"/>
              </w:rPr>
              <w:t>-</w:t>
            </w:r>
          </w:p>
        </w:tc>
      </w:tr>
      <w:tr w:rsidR="00285B87" w14:paraId="65C3E04B" w14:textId="77777777">
        <w:trPr>
          <w:cantSplit/>
          <w:trHeight w:val="560"/>
        </w:trPr>
        <w:tc>
          <w:tcPr>
            <w:tcW w:w="700" w:type="dxa"/>
            <w:tcMar>
              <w:top w:w="0" w:type="dxa"/>
              <w:bottom w:w="0" w:type="dxa"/>
            </w:tcMar>
            <w:vAlign w:val="center"/>
          </w:tcPr>
          <w:p w14:paraId="495E0CCB" w14:textId="77777777" w:rsidR="00285B87" w:rsidRDefault="009C1AF2">
            <w:pPr>
              <w:keepNext/>
              <w:keepLines/>
              <w:spacing w:after="0" w:line="240" w:lineRule="auto"/>
            </w:pPr>
            <w:r>
              <w:rPr>
                <w:sz w:val="18"/>
              </w:rPr>
              <w:t>5</w:t>
            </w:r>
          </w:p>
        </w:tc>
        <w:tc>
          <w:tcPr>
            <w:tcW w:w="3180" w:type="dxa"/>
            <w:tcMar>
              <w:top w:w="0" w:type="dxa"/>
              <w:bottom w:w="0" w:type="dxa"/>
            </w:tcMar>
            <w:vAlign w:val="center"/>
          </w:tcPr>
          <w:p w14:paraId="381DA7A8" w14:textId="77777777" w:rsidR="00285B87" w:rsidRDefault="009C1AF2">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4B59EB0" w14:textId="77777777" w:rsidR="00285B87" w:rsidRDefault="009C1AF2">
            <w:pPr>
              <w:keepNext/>
              <w:keepLines/>
              <w:spacing w:after="0" w:line="240" w:lineRule="auto"/>
            </w:pPr>
            <w:r>
              <w:rPr>
                <w:sz w:val="18"/>
              </w:rPr>
              <w:t>5</w:t>
            </w:r>
          </w:p>
        </w:tc>
        <w:tc>
          <w:tcPr>
            <w:tcW w:w="1860" w:type="dxa"/>
            <w:tcMar>
              <w:top w:w="0" w:type="dxa"/>
              <w:bottom w:w="0" w:type="dxa"/>
            </w:tcMar>
            <w:vAlign w:val="center"/>
          </w:tcPr>
          <w:p w14:paraId="2695AACB" w14:textId="77777777" w:rsidR="00285B87" w:rsidRDefault="009C1AF2">
            <w:pPr>
              <w:keepNext/>
              <w:keepLines/>
              <w:spacing w:after="0" w:line="240" w:lineRule="auto"/>
              <w:jc w:val="right"/>
            </w:pPr>
            <w:r>
              <w:rPr>
                <w:sz w:val="18"/>
              </w:rPr>
              <w:t>0,00</w:t>
            </w:r>
          </w:p>
        </w:tc>
        <w:tc>
          <w:tcPr>
            <w:tcW w:w="1860" w:type="dxa"/>
            <w:tcMar>
              <w:top w:w="0" w:type="dxa"/>
              <w:bottom w:w="0" w:type="dxa"/>
            </w:tcMar>
            <w:vAlign w:val="center"/>
          </w:tcPr>
          <w:p w14:paraId="56C5F3F4" w14:textId="77777777" w:rsidR="00285B87" w:rsidRDefault="009C1AF2">
            <w:pPr>
              <w:keepNext/>
              <w:keepLines/>
              <w:spacing w:after="0" w:line="240" w:lineRule="auto"/>
              <w:jc w:val="right"/>
            </w:pPr>
            <w:r>
              <w:rPr>
                <w:sz w:val="18"/>
              </w:rPr>
              <w:t>0,00</w:t>
            </w:r>
          </w:p>
        </w:tc>
        <w:tc>
          <w:tcPr>
            <w:tcW w:w="700" w:type="dxa"/>
            <w:tcMar>
              <w:top w:w="0" w:type="dxa"/>
              <w:bottom w:w="0" w:type="dxa"/>
            </w:tcMar>
            <w:vAlign w:val="center"/>
          </w:tcPr>
          <w:p w14:paraId="032CB90D" w14:textId="77777777" w:rsidR="00285B87" w:rsidRDefault="009C1AF2">
            <w:pPr>
              <w:keepNext/>
              <w:keepLines/>
              <w:spacing w:after="0" w:line="240" w:lineRule="auto"/>
              <w:jc w:val="right"/>
            </w:pPr>
            <w:r>
              <w:rPr>
                <w:sz w:val="18"/>
              </w:rPr>
              <w:t>-</w:t>
            </w:r>
          </w:p>
        </w:tc>
      </w:tr>
      <w:tr w:rsidR="00285B87" w14:paraId="2AF210A4" w14:textId="77777777">
        <w:trPr>
          <w:cantSplit/>
          <w:trHeight w:val="560"/>
        </w:trPr>
        <w:tc>
          <w:tcPr>
            <w:tcW w:w="700" w:type="dxa"/>
            <w:tcMar>
              <w:top w:w="0" w:type="dxa"/>
              <w:bottom w:w="0" w:type="dxa"/>
            </w:tcMar>
            <w:vAlign w:val="center"/>
          </w:tcPr>
          <w:p w14:paraId="26807C69" w14:textId="77777777" w:rsidR="00285B87" w:rsidRDefault="00285B87">
            <w:pPr>
              <w:keepNext/>
              <w:keepLines/>
              <w:spacing w:after="0" w:line="240" w:lineRule="auto"/>
            </w:pPr>
          </w:p>
        </w:tc>
        <w:tc>
          <w:tcPr>
            <w:tcW w:w="3180" w:type="dxa"/>
            <w:tcMar>
              <w:top w:w="0" w:type="dxa"/>
              <w:bottom w:w="0" w:type="dxa"/>
            </w:tcMar>
            <w:vAlign w:val="center"/>
          </w:tcPr>
          <w:p w14:paraId="2A31867D" w14:textId="77777777" w:rsidR="00285B87" w:rsidRDefault="009C1AF2">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90121AE" w14:textId="77777777" w:rsidR="00285B87" w:rsidRDefault="009C1AF2">
            <w:pPr>
              <w:keepNext/>
              <w:keepLines/>
              <w:spacing w:after="0" w:line="240" w:lineRule="auto"/>
            </w:pPr>
            <w:r>
              <w:rPr>
                <w:b/>
                <w:sz w:val="18"/>
              </w:rPr>
              <w:t>X003, Y003</w:t>
            </w:r>
          </w:p>
        </w:tc>
        <w:tc>
          <w:tcPr>
            <w:tcW w:w="1860" w:type="dxa"/>
            <w:tcMar>
              <w:top w:w="0" w:type="dxa"/>
              <w:bottom w:w="0" w:type="dxa"/>
            </w:tcMar>
            <w:vAlign w:val="center"/>
          </w:tcPr>
          <w:p w14:paraId="4B75F9DC" w14:textId="77777777" w:rsidR="00285B87" w:rsidRDefault="009C1AF2">
            <w:pPr>
              <w:keepNext/>
              <w:keepLines/>
              <w:spacing w:after="0" w:line="240" w:lineRule="auto"/>
              <w:jc w:val="right"/>
            </w:pPr>
            <w:r>
              <w:rPr>
                <w:b/>
                <w:sz w:val="18"/>
              </w:rPr>
              <w:t>0,00</w:t>
            </w:r>
          </w:p>
        </w:tc>
        <w:tc>
          <w:tcPr>
            <w:tcW w:w="1860" w:type="dxa"/>
            <w:tcMar>
              <w:top w:w="0" w:type="dxa"/>
              <w:bottom w:w="0" w:type="dxa"/>
            </w:tcMar>
            <w:vAlign w:val="center"/>
          </w:tcPr>
          <w:p w14:paraId="07FF4B1C" w14:textId="77777777" w:rsidR="00285B87" w:rsidRDefault="009C1AF2">
            <w:pPr>
              <w:keepNext/>
              <w:keepLines/>
              <w:spacing w:after="0" w:line="240" w:lineRule="auto"/>
              <w:jc w:val="right"/>
            </w:pPr>
            <w:r>
              <w:rPr>
                <w:b/>
                <w:sz w:val="18"/>
              </w:rPr>
              <w:t>0,00</w:t>
            </w:r>
          </w:p>
        </w:tc>
        <w:tc>
          <w:tcPr>
            <w:tcW w:w="700" w:type="dxa"/>
            <w:tcMar>
              <w:top w:w="0" w:type="dxa"/>
              <w:bottom w:w="0" w:type="dxa"/>
            </w:tcMar>
            <w:vAlign w:val="center"/>
          </w:tcPr>
          <w:p w14:paraId="67F13102" w14:textId="77777777" w:rsidR="00285B87" w:rsidRDefault="009C1AF2">
            <w:pPr>
              <w:keepNext/>
              <w:keepLines/>
              <w:spacing w:after="0" w:line="240" w:lineRule="auto"/>
              <w:jc w:val="right"/>
            </w:pPr>
            <w:r>
              <w:rPr>
                <w:b/>
                <w:sz w:val="18"/>
              </w:rPr>
              <w:t>-</w:t>
            </w:r>
          </w:p>
        </w:tc>
      </w:tr>
      <w:tr w:rsidR="00285B87" w14:paraId="4F34FD77" w14:textId="77777777">
        <w:trPr>
          <w:cantSplit/>
          <w:trHeight w:val="560"/>
        </w:trPr>
        <w:tc>
          <w:tcPr>
            <w:tcW w:w="700" w:type="dxa"/>
            <w:tcMar>
              <w:top w:w="0" w:type="dxa"/>
              <w:bottom w:w="0" w:type="dxa"/>
            </w:tcMar>
            <w:vAlign w:val="center"/>
          </w:tcPr>
          <w:p w14:paraId="2375212C" w14:textId="77777777" w:rsidR="00285B87" w:rsidRDefault="00285B87">
            <w:pPr>
              <w:keepNext/>
              <w:keepLines/>
              <w:spacing w:after="0" w:line="240" w:lineRule="auto"/>
            </w:pPr>
          </w:p>
        </w:tc>
        <w:tc>
          <w:tcPr>
            <w:tcW w:w="3180" w:type="dxa"/>
            <w:tcMar>
              <w:top w:w="0" w:type="dxa"/>
              <w:bottom w:w="0" w:type="dxa"/>
            </w:tcMar>
            <w:vAlign w:val="center"/>
          </w:tcPr>
          <w:p w14:paraId="5F86544C" w14:textId="77777777" w:rsidR="00285B87" w:rsidRDefault="009C1AF2">
            <w:pPr>
              <w:keepNext/>
              <w:keepLines/>
              <w:spacing w:after="0" w:line="240" w:lineRule="auto"/>
            </w:pPr>
            <w:r>
              <w:rPr>
                <w:b/>
                <w:sz w:val="18"/>
              </w:rPr>
              <w:t>VIŠAK PRIHODA I PRIMITAKA (šifre X678-Y345)</w:t>
            </w:r>
          </w:p>
        </w:tc>
        <w:tc>
          <w:tcPr>
            <w:tcW w:w="700" w:type="dxa"/>
            <w:tcMar>
              <w:top w:w="0" w:type="dxa"/>
              <w:bottom w:w="0" w:type="dxa"/>
            </w:tcMar>
            <w:vAlign w:val="center"/>
          </w:tcPr>
          <w:p w14:paraId="3F5CD41B" w14:textId="77777777" w:rsidR="00285B87" w:rsidRDefault="009C1AF2">
            <w:pPr>
              <w:keepNext/>
              <w:keepLines/>
              <w:spacing w:after="0" w:line="240" w:lineRule="auto"/>
            </w:pPr>
            <w:r>
              <w:rPr>
                <w:b/>
                <w:sz w:val="18"/>
              </w:rPr>
              <w:t>X005</w:t>
            </w:r>
          </w:p>
        </w:tc>
        <w:tc>
          <w:tcPr>
            <w:tcW w:w="1860" w:type="dxa"/>
            <w:tcMar>
              <w:top w:w="0" w:type="dxa"/>
              <w:bottom w:w="0" w:type="dxa"/>
            </w:tcMar>
            <w:vAlign w:val="center"/>
          </w:tcPr>
          <w:p w14:paraId="6741EA3F" w14:textId="77777777" w:rsidR="00285B87" w:rsidRDefault="009C1AF2">
            <w:pPr>
              <w:keepNext/>
              <w:keepLines/>
              <w:spacing w:after="0" w:line="240" w:lineRule="auto"/>
              <w:jc w:val="right"/>
            </w:pPr>
            <w:r>
              <w:rPr>
                <w:b/>
                <w:sz w:val="18"/>
              </w:rPr>
              <w:t>1.124.484,24</w:t>
            </w:r>
          </w:p>
        </w:tc>
        <w:tc>
          <w:tcPr>
            <w:tcW w:w="1860" w:type="dxa"/>
            <w:tcMar>
              <w:top w:w="0" w:type="dxa"/>
              <w:bottom w:w="0" w:type="dxa"/>
            </w:tcMar>
            <w:vAlign w:val="center"/>
          </w:tcPr>
          <w:p w14:paraId="66C455F1" w14:textId="77777777" w:rsidR="00285B87" w:rsidRDefault="009C1AF2">
            <w:pPr>
              <w:keepNext/>
              <w:keepLines/>
              <w:spacing w:after="0" w:line="240" w:lineRule="auto"/>
              <w:jc w:val="right"/>
            </w:pPr>
            <w:r>
              <w:rPr>
                <w:b/>
                <w:sz w:val="18"/>
              </w:rPr>
              <w:t>1.935.600,61</w:t>
            </w:r>
          </w:p>
        </w:tc>
        <w:tc>
          <w:tcPr>
            <w:tcW w:w="700" w:type="dxa"/>
            <w:tcMar>
              <w:top w:w="0" w:type="dxa"/>
              <w:bottom w:w="0" w:type="dxa"/>
            </w:tcMar>
            <w:vAlign w:val="center"/>
          </w:tcPr>
          <w:p w14:paraId="1521DD57" w14:textId="77777777" w:rsidR="00285B87" w:rsidRDefault="009C1AF2">
            <w:pPr>
              <w:keepNext/>
              <w:keepLines/>
              <w:spacing w:after="0" w:line="240" w:lineRule="auto"/>
              <w:jc w:val="right"/>
            </w:pPr>
            <w:r>
              <w:rPr>
                <w:b/>
                <w:sz w:val="18"/>
              </w:rPr>
              <w:t>172,1</w:t>
            </w:r>
          </w:p>
        </w:tc>
      </w:tr>
    </w:tbl>
    <w:p w14:paraId="3EEC942C" w14:textId="77777777" w:rsidR="00285B87" w:rsidRDefault="00285B87">
      <w:pPr>
        <w:spacing w:after="0"/>
      </w:pPr>
    </w:p>
    <w:p w14:paraId="14FD42F0" w14:textId="77777777" w:rsidR="00285B87" w:rsidRDefault="009C1AF2">
      <w:r>
        <w:t>Ukupni prihodi poslovanja ostvareni su u iznosu 12.655.508,95 eura, odnosno 15,1% više u odnosu na ostvarene prihode u istom razdoblju 2024.godine. Na povećanje prihoda najvećim je dijelom utjecalo povećanje ostalih nespomenutih prihoda zbog povećanja broja osiguranika II. stupa i povećanja naknade obveznim mirovinskim društvima za vođenje jedinstvenog računovodstva osobnih računa članova.</w:t>
      </w:r>
    </w:p>
    <w:p w14:paraId="52FDBAB1" w14:textId="77777777" w:rsidR="00285B87" w:rsidRDefault="009C1AF2">
      <w:r>
        <w:t xml:space="preserve">Ukupni rashodi poslovanja ostvareni su u iznosu 10.545.896,93 eura, odnosno 9,9% više u odnosu na ostvarene rashode poslovanja u istom razdoblju 2024. godine. Rashodi su knjiženi na temelju načela nastanka poslovnog događaja (nastanka obveza) i u izvještajnom razdoblju </w:t>
      </w:r>
      <w:r>
        <w:lastRenderedPageBreak/>
        <w:t>na koje se odnose. Na povećanje rashoda poslovanja u izvještajnom razdoblju utjecala je primjena novog Pravilnika o proračunskom računovodstvu i Računskom planu i drugačijim knjigovodstvenim evidencijama rashoda. Ukinuta je podskupina računa 193 – Kontinuirani rashodi budućih razdoblja, a kontinuirani rashodi prenose se na odgovarajuće račune razreda 3 – Rashodi poslovanja sa 02.01.2025. godine. Rashodi za nabavu nefinancijske imovine ostvareni su u iznosu 174.012,41 eura i odnose se na nabavu dugotrajne materijalne i nematerijalne imovine.</w:t>
      </w:r>
    </w:p>
    <w:p w14:paraId="6AEFF968" w14:textId="77777777" w:rsidR="00285B87" w:rsidRDefault="009C1AF2">
      <w:r>
        <w:t>U razdoblju od 01.01. do 31.12.2025. godine ostvaren je višak prihoda i primitaka u iznosu 1.935.600,61 eura. Višak prihoda i primitaka ostvaren je naplatom naknade obveznim mirovinskim društvima za vođenje jedinstvenog računovodstva osobnih računa članova.</w:t>
      </w:r>
    </w:p>
    <w:p w14:paraId="133FF435" w14:textId="77777777" w:rsidR="00285B87" w:rsidRDefault="009C1AF2">
      <w:r>
        <w:br/>
      </w:r>
    </w:p>
    <w:p w14:paraId="17885E9D" w14:textId="77777777" w:rsidR="00285B87" w:rsidRDefault="009C1AF2">
      <w:pPr>
        <w:keepNext/>
        <w:spacing w:line="240" w:lineRule="auto"/>
        <w:jc w:val="center"/>
      </w:pPr>
      <w:r>
        <w:rPr>
          <w:b/>
          <w:sz w:val="28"/>
        </w:rPr>
        <w:t>Bilanca</w:t>
      </w:r>
    </w:p>
    <w:p w14:paraId="65A259D7" w14:textId="77777777" w:rsidR="00285B87" w:rsidRDefault="009C1AF2">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701766FE" w14:textId="77777777">
        <w:trPr>
          <w:cantSplit/>
        </w:trPr>
        <w:tc>
          <w:tcPr>
            <w:tcW w:w="700" w:type="dxa"/>
            <w:shd w:val="clear" w:color="auto" w:fill="E7F0F9"/>
            <w:tcMar>
              <w:top w:w="0" w:type="dxa"/>
              <w:bottom w:w="0" w:type="dxa"/>
            </w:tcMar>
            <w:vAlign w:val="center"/>
          </w:tcPr>
          <w:p w14:paraId="205D7EC6"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D53A76"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0941D"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AEEECF" w14:textId="77777777" w:rsidR="00285B87" w:rsidRDefault="009C1A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0C3F9B" w14:textId="77777777" w:rsidR="00285B87" w:rsidRDefault="009C1A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F1174B" w14:textId="77777777" w:rsidR="00285B87" w:rsidRDefault="009C1AF2">
            <w:pPr>
              <w:keepNext/>
              <w:keepLines/>
              <w:spacing w:after="0" w:line="240" w:lineRule="auto"/>
              <w:jc w:val="center"/>
            </w:pPr>
            <w:r>
              <w:rPr>
                <w:b/>
                <w:sz w:val="18"/>
              </w:rPr>
              <w:t>Indeks (%)</w:t>
            </w:r>
          </w:p>
        </w:tc>
      </w:tr>
      <w:tr w:rsidR="00285B87" w14:paraId="79AFCA91" w14:textId="77777777">
        <w:trPr>
          <w:cantSplit/>
          <w:trHeight w:val="560"/>
        </w:trPr>
        <w:tc>
          <w:tcPr>
            <w:tcW w:w="700" w:type="dxa"/>
            <w:tcMar>
              <w:top w:w="0" w:type="dxa"/>
              <w:bottom w:w="0" w:type="dxa"/>
            </w:tcMar>
            <w:vAlign w:val="center"/>
          </w:tcPr>
          <w:p w14:paraId="4CD71ACE" w14:textId="77777777" w:rsidR="00285B87" w:rsidRDefault="009C1AF2">
            <w:pPr>
              <w:keepNext/>
              <w:keepLines/>
              <w:spacing w:after="0" w:line="240" w:lineRule="auto"/>
            </w:pPr>
            <w:r>
              <w:rPr>
                <w:sz w:val="18"/>
              </w:rPr>
              <w:t>0</w:t>
            </w:r>
          </w:p>
        </w:tc>
        <w:tc>
          <w:tcPr>
            <w:tcW w:w="3180" w:type="dxa"/>
            <w:tcMar>
              <w:top w:w="0" w:type="dxa"/>
              <w:bottom w:w="0" w:type="dxa"/>
            </w:tcMar>
            <w:vAlign w:val="center"/>
          </w:tcPr>
          <w:p w14:paraId="732C267A" w14:textId="77777777" w:rsidR="00285B87" w:rsidRDefault="009C1AF2">
            <w:pPr>
              <w:keepNext/>
              <w:keepLines/>
              <w:spacing w:after="0" w:line="240" w:lineRule="auto"/>
            </w:pPr>
            <w:r>
              <w:rPr>
                <w:sz w:val="18"/>
              </w:rPr>
              <w:t>Nefinancijska imovina (šifre 01+02+03+04+05+06)</w:t>
            </w:r>
          </w:p>
        </w:tc>
        <w:tc>
          <w:tcPr>
            <w:tcW w:w="700" w:type="dxa"/>
            <w:tcMar>
              <w:top w:w="0" w:type="dxa"/>
              <w:bottom w:w="0" w:type="dxa"/>
            </w:tcMar>
            <w:vAlign w:val="center"/>
          </w:tcPr>
          <w:p w14:paraId="7FCD07C2" w14:textId="77777777" w:rsidR="00285B87" w:rsidRDefault="009C1AF2">
            <w:pPr>
              <w:keepNext/>
              <w:keepLines/>
              <w:spacing w:after="0" w:line="240" w:lineRule="auto"/>
            </w:pPr>
            <w:r>
              <w:rPr>
                <w:sz w:val="18"/>
              </w:rPr>
              <w:t>B002</w:t>
            </w:r>
          </w:p>
        </w:tc>
        <w:tc>
          <w:tcPr>
            <w:tcW w:w="1860" w:type="dxa"/>
            <w:tcMar>
              <w:top w:w="0" w:type="dxa"/>
              <w:bottom w:w="0" w:type="dxa"/>
            </w:tcMar>
            <w:vAlign w:val="center"/>
          </w:tcPr>
          <w:p w14:paraId="77AF9DFA" w14:textId="77777777" w:rsidR="00285B87" w:rsidRDefault="009C1AF2">
            <w:pPr>
              <w:keepNext/>
              <w:keepLines/>
              <w:spacing w:after="0" w:line="240" w:lineRule="auto"/>
              <w:jc w:val="right"/>
            </w:pPr>
            <w:r>
              <w:rPr>
                <w:sz w:val="18"/>
              </w:rPr>
              <w:t>1.257.547,39</w:t>
            </w:r>
          </w:p>
        </w:tc>
        <w:tc>
          <w:tcPr>
            <w:tcW w:w="1860" w:type="dxa"/>
            <w:tcMar>
              <w:top w:w="0" w:type="dxa"/>
              <w:bottom w:w="0" w:type="dxa"/>
            </w:tcMar>
            <w:vAlign w:val="center"/>
          </w:tcPr>
          <w:p w14:paraId="274C6D71" w14:textId="77777777" w:rsidR="00285B87" w:rsidRDefault="009C1AF2">
            <w:pPr>
              <w:keepNext/>
              <w:keepLines/>
              <w:spacing w:after="0" w:line="240" w:lineRule="auto"/>
              <w:jc w:val="right"/>
            </w:pPr>
            <w:r>
              <w:rPr>
                <w:sz w:val="18"/>
              </w:rPr>
              <w:t>976.854,95</w:t>
            </w:r>
          </w:p>
        </w:tc>
        <w:tc>
          <w:tcPr>
            <w:tcW w:w="700" w:type="dxa"/>
            <w:tcMar>
              <w:top w:w="0" w:type="dxa"/>
              <w:bottom w:w="0" w:type="dxa"/>
            </w:tcMar>
            <w:vAlign w:val="center"/>
          </w:tcPr>
          <w:p w14:paraId="3A0F5800" w14:textId="77777777" w:rsidR="00285B87" w:rsidRDefault="009C1AF2">
            <w:pPr>
              <w:keepNext/>
              <w:keepLines/>
              <w:spacing w:after="0" w:line="240" w:lineRule="auto"/>
              <w:jc w:val="right"/>
            </w:pPr>
            <w:r>
              <w:rPr>
                <w:sz w:val="18"/>
              </w:rPr>
              <w:t>77,7</w:t>
            </w:r>
          </w:p>
        </w:tc>
      </w:tr>
    </w:tbl>
    <w:p w14:paraId="67FB2352" w14:textId="77777777" w:rsidR="00285B87" w:rsidRDefault="00285B87">
      <w:pPr>
        <w:spacing w:after="0"/>
      </w:pPr>
    </w:p>
    <w:p w14:paraId="2886EA5D" w14:textId="6E97BDAF" w:rsidR="00285B87" w:rsidRDefault="009C1AF2">
      <w:r>
        <w:t>Vrijednost nefinancijske imovine iznosi 976.854,95 eura i manja je za 22,3% u odnosu na početno stanje</w:t>
      </w:r>
      <w:r w:rsidR="00C62B15">
        <w:t>,</w:t>
      </w:r>
      <w:r>
        <w:t xml:space="preserve"> a odnosi se na ispravak vrijednosti dugotrajne imovine. </w:t>
      </w:r>
    </w:p>
    <w:p w14:paraId="5AD9C900" w14:textId="77777777" w:rsidR="00285B87" w:rsidRDefault="00285B87"/>
    <w:p w14:paraId="7000EF52" w14:textId="77777777" w:rsidR="00285B87" w:rsidRDefault="009C1AF2">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422CC64F" w14:textId="77777777">
        <w:trPr>
          <w:cantSplit/>
        </w:trPr>
        <w:tc>
          <w:tcPr>
            <w:tcW w:w="700" w:type="dxa"/>
            <w:shd w:val="clear" w:color="auto" w:fill="E7F0F9"/>
            <w:tcMar>
              <w:top w:w="0" w:type="dxa"/>
              <w:bottom w:w="0" w:type="dxa"/>
            </w:tcMar>
            <w:vAlign w:val="center"/>
          </w:tcPr>
          <w:p w14:paraId="6EEA1353"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F43EC8"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93A39"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DB860E" w14:textId="77777777" w:rsidR="00285B87" w:rsidRDefault="009C1A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B2AFC2" w14:textId="77777777" w:rsidR="00285B87" w:rsidRDefault="009C1A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0D9C2A" w14:textId="77777777" w:rsidR="00285B87" w:rsidRDefault="009C1AF2">
            <w:pPr>
              <w:keepNext/>
              <w:keepLines/>
              <w:spacing w:after="0" w:line="240" w:lineRule="auto"/>
              <w:jc w:val="center"/>
            </w:pPr>
            <w:r>
              <w:rPr>
                <w:b/>
                <w:sz w:val="18"/>
              </w:rPr>
              <w:t>Indeks (%)</w:t>
            </w:r>
          </w:p>
        </w:tc>
      </w:tr>
      <w:tr w:rsidR="00285B87" w14:paraId="70D88645" w14:textId="77777777">
        <w:trPr>
          <w:cantSplit/>
          <w:trHeight w:val="560"/>
        </w:trPr>
        <w:tc>
          <w:tcPr>
            <w:tcW w:w="700" w:type="dxa"/>
            <w:tcMar>
              <w:top w:w="0" w:type="dxa"/>
              <w:bottom w:w="0" w:type="dxa"/>
            </w:tcMar>
            <w:vAlign w:val="center"/>
          </w:tcPr>
          <w:p w14:paraId="4AC09060" w14:textId="77777777" w:rsidR="00285B87" w:rsidRDefault="009C1AF2">
            <w:pPr>
              <w:keepNext/>
              <w:keepLines/>
              <w:spacing w:after="0" w:line="240" w:lineRule="auto"/>
            </w:pPr>
            <w:r>
              <w:rPr>
                <w:sz w:val="18"/>
              </w:rPr>
              <w:t>1</w:t>
            </w:r>
          </w:p>
        </w:tc>
        <w:tc>
          <w:tcPr>
            <w:tcW w:w="3180" w:type="dxa"/>
            <w:tcMar>
              <w:top w:w="0" w:type="dxa"/>
              <w:bottom w:w="0" w:type="dxa"/>
            </w:tcMar>
            <w:vAlign w:val="center"/>
          </w:tcPr>
          <w:p w14:paraId="586F9E3F" w14:textId="77777777" w:rsidR="00285B87" w:rsidRDefault="009C1AF2">
            <w:pPr>
              <w:keepNext/>
              <w:keepLines/>
              <w:spacing w:after="0" w:line="240" w:lineRule="auto"/>
            </w:pPr>
            <w:r>
              <w:rPr>
                <w:sz w:val="18"/>
              </w:rPr>
              <w:t>Financijska imovina (šifre 11+12+13+14+15+16+17+19)</w:t>
            </w:r>
          </w:p>
        </w:tc>
        <w:tc>
          <w:tcPr>
            <w:tcW w:w="700" w:type="dxa"/>
            <w:tcMar>
              <w:top w:w="0" w:type="dxa"/>
              <w:bottom w:w="0" w:type="dxa"/>
            </w:tcMar>
            <w:vAlign w:val="center"/>
          </w:tcPr>
          <w:p w14:paraId="4D16BBE4" w14:textId="77777777" w:rsidR="00285B87" w:rsidRDefault="009C1AF2">
            <w:pPr>
              <w:keepNext/>
              <w:keepLines/>
              <w:spacing w:after="0" w:line="240" w:lineRule="auto"/>
            </w:pPr>
            <w:r>
              <w:rPr>
                <w:sz w:val="18"/>
              </w:rPr>
              <w:t>1</w:t>
            </w:r>
          </w:p>
        </w:tc>
        <w:tc>
          <w:tcPr>
            <w:tcW w:w="1860" w:type="dxa"/>
            <w:tcMar>
              <w:top w:w="0" w:type="dxa"/>
              <w:bottom w:w="0" w:type="dxa"/>
            </w:tcMar>
            <w:vAlign w:val="center"/>
          </w:tcPr>
          <w:p w14:paraId="7C32EDF8" w14:textId="77777777" w:rsidR="00285B87" w:rsidRDefault="009C1AF2">
            <w:pPr>
              <w:keepNext/>
              <w:keepLines/>
              <w:spacing w:after="0" w:line="240" w:lineRule="auto"/>
              <w:jc w:val="right"/>
            </w:pPr>
            <w:r>
              <w:rPr>
                <w:sz w:val="18"/>
              </w:rPr>
              <w:t>26.963.879,49</w:t>
            </w:r>
          </w:p>
        </w:tc>
        <w:tc>
          <w:tcPr>
            <w:tcW w:w="1860" w:type="dxa"/>
            <w:tcMar>
              <w:top w:w="0" w:type="dxa"/>
              <w:bottom w:w="0" w:type="dxa"/>
            </w:tcMar>
            <w:vAlign w:val="center"/>
          </w:tcPr>
          <w:p w14:paraId="48E0429F" w14:textId="77777777" w:rsidR="00285B87" w:rsidRDefault="009C1AF2">
            <w:pPr>
              <w:keepNext/>
              <w:keepLines/>
              <w:spacing w:after="0" w:line="240" w:lineRule="auto"/>
              <w:jc w:val="right"/>
            </w:pPr>
            <w:r>
              <w:rPr>
                <w:sz w:val="18"/>
              </w:rPr>
              <w:t>29.034.845,88</w:t>
            </w:r>
          </w:p>
        </w:tc>
        <w:tc>
          <w:tcPr>
            <w:tcW w:w="700" w:type="dxa"/>
            <w:tcMar>
              <w:top w:w="0" w:type="dxa"/>
              <w:bottom w:w="0" w:type="dxa"/>
            </w:tcMar>
            <w:vAlign w:val="center"/>
          </w:tcPr>
          <w:p w14:paraId="5E68AD98" w14:textId="77777777" w:rsidR="00285B87" w:rsidRDefault="009C1AF2">
            <w:pPr>
              <w:keepNext/>
              <w:keepLines/>
              <w:spacing w:after="0" w:line="240" w:lineRule="auto"/>
              <w:jc w:val="right"/>
            </w:pPr>
            <w:r>
              <w:rPr>
                <w:sz w:val="18"/>
              </w:rPr>
              <w:t>107,7</w:t>
            </w:r>
          </w:p>
        </w:tc>
      </w:tr>
    </w:tbl>
    <w:p w14:paraId="3DA3EE0B" w14:textId="77777777" w:rsidR="00285B87" w:rsidRDefault="00285B87">
      <w:pPr>
        <w:spacing w:after="0"/>
      </w:pPr>
    </w:p>
    <w:p w14:paraId="54EFE1E7" w14:textId="77777777" w:rsidR="00285B87" w:rsidRDefault="009C1AF2">
      <w:r>
        <w:t>Financijska imovina iznosi 29.034.845,88 eura i veća je za 7,7% u odnosu na stanje 1. siječnja 2025. godine. Povećanje financijske imovine odnosi se na povećanje potraživanja za prihode poslovanja ostvarene naplatom propisane naknade obveznim mirovinskim društvima za vođenje jedinstvenog računovodstva osobnih računa u 2025. godini.</w:t>
      </w:r>
    </w:p>
    <w:p w14:paraId="51B9B849" w14:textId="77777777" w:rsidR="00DB72E5" w:rsidRDefault="00DB72E5">
      <w:pPr>
        <w:keepNext/>
        <w:spacing w:line="240" w:lineRule="auto"/>
        <w:jc w:val="center"/>
        <w:rPr>
          <w:sz w:val="28"/>
        </w:rPr>
      </w:pPr>
    </w:p>
    <w:p w14:paraId="323B88FB" w14:textId="377D01C5" w:rsidR="00285B87" w:rsidRDefault="009C1AF2">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63D66199" w14:textId="77777777">
        <w:trPr>
          <w:cantSplit/>
        </w:trPr>
        <w:tc>
          <w:tcPr>
            <w:tcW w:w="700" w:type="dxa"/>
            <w:shd w:val="clear" w:color="auto" w:fill="E7F0F9"/>
            <w:tcMar>
              <w:top w:w="0" w:type="dxa"/>
              <w:bottom w:w="0" w:type="dxa"/>
            </w:tcMar>
            <w:vAlign w:val="center"/>
          </w:tcPr>
          <w:p w14:paraId="3102E2D8"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C55441"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3E2F02"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9E410F" w14:textId="77777777" w:rsidR="00285B87" w:rsidRDefault="009C1AF2">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32B47E" w14:textId="77777777" w:rsidR="00285B87" w:rsidRDefault="009C1AF2">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4309A8" w14:textId="77777777" w:rsidR="00285B87" w:rsidRDefault="009C1AF2">
            <w:pPr>
              <w:keepNext/>
              <w:keepLines/>
              <w:spacing w:after="0" w:line="240" w:lineRule="auto"/>
              <w:jc w:val="center"/>
            </w:pPr>
            <w:r>
              <w:rPr>
                <w:b/>
                <w:sz w:val="18"/>
              </w:rPr>
              <w:t>Indeks (%)</w:t>
            </w:r>
          </w:p>
        </w:tc>
      </w:tr>
      <w:tr w:rsidR="00285B87" w14:paraId="4876854A" w14:textId="77777777">
        <w:trPr>
          <w:cantSplit/>
          <w:trHeight w:val="560"/>
        </w:trPr>
        <w:tc>
          <w:tcPr>
            <w:tcW w:w="700" w:type="dxa"/>
            <w:tcMar>
              <w:top w:w="0" w:type="dxa"/>
              <w:bottom w:w="0" w:type="dxa"/>
            </w:tcMar>
            <w:vAlign w:val="center"/>
          </w:tcPr>
          <w:p w14:paraId="326B162E" w14:textId="77777777" w:rsidR="00285B87" w:rsidRDefault="00285B87">
            <w:pPr>
              <w:keepNext/>
              <w:keepLines/>
              <w:spacing w:after="0" w:line="240" w:lineRule="auto"/>
            </w:pPr>
          </w:p>
        </w:tc>
        <w:tc>
          <w:tcPr>
            <w:tcW w:w="3180" w:type="dxa"/>
            <w:tcMar>
              <w:top w:w="0" w:type="dxa"/>
              <w:bottom w:w="0" w:type="dxa"/>
            </w:tcMar>
            <w:vAlign w:val="center"/>
          </w:tcPr>
          <w:p w14:paraId="513EB641" w14:textId="77777777" w:rsidR="00285B87" w:rsidRDefault="009C1AF2">
            <w:pPr>
              <w:keepNext/>
              <w:keepLines/>
              <w:spacing w:after="0" w:line="240" w:lineRule="auto"/>
            </w:pPr>
            <w:r>
              <w:rPr>
                <w:sz w:val="18"/>
              </w:rPr>
              <w:t>OBVEZE I VLASTITI IZVORI (šifre 2+9)</w:t>
            </w:r>
          </w:p>
        </w:tc>
        <w:tc>
          <w:tcPr>
            <w:tcW w:w="700" w:type="dxa"/>
            <w:tcMar>
              <w:top w:w="0" w:type="dxa"/>
              <w:bottom w:w="0" w:type="dxa"/>
            </w:tcMar>
            <w:vAlign w:val="center"/>
          </w:tcPr>
          <w:p w14:paraId="6DE2C9C1" w14:textId="77777777" w:rsidR="00285B87" w:rsidRDefault="009C1AF2">
            <w:pPr>
              <w:keepNext/>
              <w:keepLines/>
              <w:spacing w:after="0" w:line="240" w:lineRule="auto"/>
            </w:pPr>
            <w:r>
              <w:rPr>
                <w:sz w:val="18"/>
              </w:rPr>
              <w:t>B003</w:t>
            </w:r>
          </w:p>
        </w:tc>
        <w:tc>
          <w:tcPr>
            <w:tcW w:w="1860" w:type="dxa"/>
            <w:tcMar>
              <w:top w:w="0" w:type="dxa"/>
              <w:bottom w:w="0" w:type="dxa"/>
            </w:tcMar>
            <w:vAlign w:val="center"/>
          </w:tcPr>
          <w:p w14:paraId="3062F1C4" w14:textId="77777777" w:rsidR="00285B87" w:rsidRDefault="009C1AF2">
            <w:pPr>
              <w:keepNext/>
              <w:keepLines/>
              <w:spacing w:after="0" w:line="240" w:lineRule="auto"/>
              <w:jc w:val="right"/>
            </w:pPr>
            <w:r>
              <w:rPr>
                <w:sz w:val="18"/>
              </w:rPr>
              <w:t>28.221.426,88</w:t>
            </w:r>
          </w:p>
        </w:tc>
        <w:tc>
          <w:tcPr>
            <w:tcW w:w="1860" w:type="dxa"/>
            <w:tcMar>
              <w:top w:w="0" w:type="dxa"/>
              <w:bottom w:w="0" w:type="dxa"/>
            </w:tcMar>
            <w:vAlign w:val="center"/>
          </w:tcPr>
          <w:p w14:paraId="5EE1C165" w14:textId="77777777" w:rsidR="00285B87" w:rsidRDefault="009C1AF2">
            <w:pPr>
              <w:keepNext/>
              <w:keepLines/>
              <w:spacing w:after="0" w:line="240" w:lineRule="auto"/>
              <w:jc w:val="right"/>
            </w:pPr>
            <w:r>
              <w:rPr>
                <w:sz w:val="18"/>
              </w:rPr>
              <w:t>30.011.700,83</w:t>
            </w:r>
          </w:p>
        </w:tc>
        <w:tc>
          <w:tcPr>
            <w:tcW w:w="700" w:type="dxa"/>
            <w:tcMar>
              <w:top w:w="0" w:type="dxa"/>
              <w:bottom w:w="0" w:type="dxa"/>
            </w:tcMar>
            <w:vAlign w:val="center"/>
          </w:tcPr>
          <w:p w14:paraId="15C52DB0" w14:textId="77777777" w:rsidR="00285B87" w:rsidRDefault="009C1AF2">
            <w:pPr>
              <w:keepNext/>
              <w:keepLines/>
              <w:spacing w:after="0" w:line="240" w:lineRule="auto"/>
              <w:jc w:val="right"/>
            </w:pPr>
            <w:r>
              <w:rPr>
                <w:sz w:val="18"/>
              </w:rPr>
              <w:t>106,3</w:t>
            </w:r>
          </w:p>
        </w:tc>
      </w:tr>
    </w:tbl>
    <w:p w14:paraId="05E4453F" w14:textId="77777777" w:rsidR="00285B87" w:rsidRDefault="00285B87">
      <w:pPr>
        <w:spacing w:after="0"/>
      </w:pPr>
    </w:p>
    <w:p w14:paraId="214141CE" w14:textId="4E54DDAE" w:rsidR="00285B87" w:rsidRDefault="009C1AF2">
      <w:r>
        <w:t>Obveze i vlastiti izvori iznose 30.011.700,83 eura i veći su za 6,3% u odnosu na stanje na dan 1. siječnja 2025. godine</w:t>
      </w:r>
      <w:r w:rsidR="00C62B15">
        <w:t>,</w:t>
      </w:r>
      <w:r>
        <w:t xml:space="preserve"> a odnose se na povećanje viška prihoda poslovanja.</w:t>
      </w:r>
    </w:p>
    <w:p w14:paraId="5F862CFD" w14:textId="77777777" w:rsidR="00285B87" w:rsidRDefault="00285B87"/>
    <w:p w14:paraId="3978C5BF" w14:textId="77777777" w:rsidR="00285B87" w:rsidRDefault="009C1AF2">
      <w:pPr>
        <w:keepNext/>
        <w:spacing w:line="240" w:lineRule="auto"/>
        <w:jc w:val="center"/>
      </w:pPr>
      <w:r>
        <w:rPr>
          <w:b/>
          <w:sz w:val="28"/>
        </w:rPr>
        <w:t>Izvještaj o rashodima prema funkcijskoj klasifikaciji</w:t>
      </w:r>
    </w:p>
    <w:p w14:paraId="6946F013" w14:textId="77777777" w:rsidR="00285B87" w:rsidRDefault="009C1AF2">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7B900BF1" w14:textId="77777777">
        <w:trPr>
          <w:cantSplit/>
        </w:trPr>
        <w:tc>
          <w:tcPr>
            <w:tcW w:w="700" w:type="dxa"/>
            <w:shd w:val="clear" w:color="auto" w:fill="E7F0F9"/>
            <w:tcMar>
              <w:top w:w="0" w:type="dxa"/>
              <w:bottom w:w="0" w:type="dxa"/>
            </w:tcMar>
            <w:vAlign w:val="center"/>
          </w:tcPr>
          <w:p w14:paraId="6174F1E0"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700A92"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267F9"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B6244" w14:textId="77777777" w:rsidR="00285B87" w:rsidRDefault="009C1AF2">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5CE59" w14:textId="77777777" w:rsidR="00285B87" w:rsidRDefault="009C1AF2">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EA3214" w14:textId="77777777" w:rsidR="00285B87" w:rsidRDefault="009C1AF2">
            <w:pPr>
              <w:keepNext/>
              <w:keepLines/>
              <w:spacing w:after="0" w:line="240" w:lineRule="auto"/>
              <w:jc w:val="center"/>
            </w:pPr>
            <w:r>
              <w:rPr>
                <w:b/>
                <w:sz w:val="18"/>
              </w:rPr>
              <w:t>Indeks (%)</w:t>
            </w:r>
          </w:p>
        </w:tc>
      </w:tr>
      <w:tr w:rsidR="00285B87" w14:paraId="676F788B" w14:textId="77777777">
        <w:trPr>
          <w:cantSplit/>
          <w:trHeight w:val="560"/>
        </w:trPr>
        <w:tc>
          <w:tcPr>
            <w:tcW w:w="700" w:type="dxa"/>
            <w:tcMar>
              <w:top w:w="0" w:type="dxa"/>
              <w:bottom w:w="0" w:type="dxa"/>
            </w:tcMar>
            <w:vAlign w:val="center"/>
          </w:tcPr>
          <w:p w14:paraId="60272538" w14:textId="77777777" w:rsidR="00285B87" w:rsidRDefault="009C1AF2">
            <w:pPr>
              <w:keepNext/>
              <w:keepLines/>
              <w:spacing w:after="0" w:line="240" w:lineRule="auto"/>
            </w:pPr>
            <w:r>
              <w:rPr>
                <w:sz w:val="18"/>
              </w:rPr>
              <w:t>109</w:t>
            </w:r>
          </w:p>
        </w:tc>
        <w:tc>
          <w:tcPr>
            <w:tcW w:w="3180" w:type="dxa"/>
            <w:tcMar>
              <w:top w:w="0" w:type="dxa"/>
              <w:bottom w:w="0" w:type="dxa"/>
            </w:tcMar>
            <w:vAlign w:val="center"/>
          </w:tcPr>
          <w:p w14:paraId="58CBBB2C" w14:textId="77777777" w:rsidR="00285B87" w:rsidRDefault="009C1AF2">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1AD85B0E" w14:textId="77777777" w:rsidR="00285B87" w:rsidRDefault="009C1AF2">
            <w:pPr>
              <w:keepNext/>
              <w:keepLines/>
              <w:spacing w:after="0" w:line="240" w:lineRule="auto"/>
            </w:pPr>
            <w:r>
              <w:rPr>
                <w:sz w:val="18"/>
              </w:rPr>
              <w:t>109</w:t>
            </w:r>
          </w:p>
        </w:tc>
        <w:tc>
          <w:tcPr>
            <w:tcW w:w="1860" w:type="dxa"/>
            <w:tcMar>
              <w:top w:w="0" w:type="dxa"/>
              <w:bottom w:w="0" w:type="dxa"/>
            </w:tcMar>
            <w:vAlign w:val="center"/>
          </w:tcPr>
          <w:p w14:paraId="7929FA47" w14:textId="77777777" w:rsidR="00285B87" w:rsidRDefault="009C1AF2">
            <w:pPr>
              <w:keepNext/>
              <w:keepLines/>
              <w:spacing w:after="0" w:line="240" w:lineRule="auto"/>
              <w:jc w:val="right"/>
            </w:pPr>
            <w:r>
              <w:rPr>
                <w:sz w:val="18"/>
              </w:rPr>
              <w:t>9.867.853,18</w:t>
            </w:r>
          </w:p>
        </w:tc>
        <w:tc>
          <w:tcPr>
            <w:tcW w:w="1860" w:type="dxa"/>
            <w:tcMar>
              <w:top w:w="0" w:type="dxa"/>
              <w:bottom w:w="0" w:type="dxa"/>
            </w:tcMar>
            <w:vAlign w:val="center"/>
          </w:tcPr>
          <w:p w14:paraId="5A737FF6" w14:textId="77777777" w:rsidR="00285B87" w:rsidRDefault="009C1AF2">
            <w:pPr>
              <w:keepNext/>
              <w:keepLines/>
              <w:spacing w:after="0" w:line="240" w:lineRule="auto"/>
              <w:jc w:val="right"/>
            </w:pPr>
            <w:r>
              <w:rPr>
                <w:sz w:val="18"/>
              </w:rPr>
              <w:t>10.719.908,34</w:t>
            </w:r>
          </w:p>
        </w:tc>
        <w:tc>
          <w:tcPr>
            <w:tcW w:w="700" w:type="dxa"/>
            <w:tcMar>
              <w:top w:w="0" w:type="dxa"/>
              <w:bottom w:w="0" w:type="dxa"/>
            </w:tcMar>
            <w:vAlign w:val="center"/>
          </w:tcPr>
          <w:p w14:paraId="1C00D81C" w14:textId="77777777" w:rsidR="00285B87" w:rsidRDefault="009C1AF2">
            <w:pPr>
              <w:keepNext/>
              <w:keepLines/>
              <w:spacing w:after="0" w:line="240" w:lineRule="auto"/>
              <w:jc w:val="right"/>
            </w:pPr>
            <w:r>
              <w:rPr>
                <w:sz w:val="18"/>
              </w:rPr>
              <w:t>108,6</w:t>
            </w:r>
          </w:p>
        </w:tc>
      </w:tr>
    </w:tbl>
    <w:p w14:paraId="3A706C8D" w14:textId="77777777" w:rsidR="00285B87" w:rsidRDefault="00285B87">
      <w:pPr>
        <w:spacing w:after="0"/>
      </w:pPr>
    </w:p>
    <w:p w14:paraId="060120F6" w14:textId="77777777" w:rsidR="00285B87" w:rsidRDefault="009C1AF2">
      <w:r>
        <w:t>U izvještajnom razdoblju rashodi prema funkcijskoj klasifikaciji, brojčane oznake 109 – aktivnosti socijalne zaštite koje nisu drugdje svrstane, iskazani su u iznosu 10.719.908,34 eura, a razvrstavaju se prema namjeni na rashode poslovanja razreda 3 u iznosu 10.545.895,93 eura i na rashode za nabavu nefinancijske imovine razreda 4 u iznosu 174.012,41 eura.</w:t>
      </w:r>
    </w:p>
    <w:p w14:paraId="745A38A2" w14:textId="77777777" w:rsidR="00285B87" w:rsidRDefault="00285B87"/>
    <w:p w14:paraId="443B92B1" w14:textId="77777777" w:rsidR="00285B87" w:rsidRDefault="009C1AF2">
      <w:pPr>
        <w:keepNext/>
        <w:spacing w:line="240" w:lineRule="auto"/>
        <w:jc w:val="center"/>
      </w:pPr>
      <w:r>
        <w:rPr>
          <w:b/>
          <w:sz w:val="28"/>
        </w:rPr>
        <w:t>Promjene u vrijednosti i obujmu imovine i obveza</w:t>
      </w:r>
    </w:p>
    <w:p w14:paraId="3C77633F" w14:textId="77777777" w:rsidR="00285B87" w:rsidRDefault="009C1AF2">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85B87" w14:paraId="05DAD970" w14:textId="77777777">
        <w:trPr>
          <w:cantSplit/>
        </w:trPr>
        <w:tc>
          <w:tcPr>
            <w:tcW w:w="700" w:type="dxa"/>
            <w:shd w:val="clear" w:color="auto" w:fill="E7F0F9"/>
            <w:tcMar>
              <w:top w:w="0" w:type="dxa"/>
              <w:bottom w:w="0" w:type="dxa"/>
            </w:tcMar>
            <w:vAlign w:val="center"/>
          </w:tcPr>
          <w:p w14:paraId="4B2744A6"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16933"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D9BA6"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390C24" w14:textId="77777777" w:rsidR="00285B87" w:rsidRDefault="009C1AF2">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D939CF1" w14:textId="77777777" w:rsidR="00285B87" w:rsidRDefault="009C1AF2">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2F8978D" w14:textId="77777777" w:rsidR="00285B87" w:rsidRDefault="009C1AF2">
            <w:pPr>
              <w:keepNext/>
              <w:keepLines/>
              <w:spacing w:after="0" w:line="240" w:lineRule="auto"/>
              <w:jc w:val="center"/>
            </w:pPr>
            <w:r>
              <w:rPr>
                <w:b/>
                <w:sz w:val="18"/>
              </w:rPr>
              <w:t>Indeks (%)</w:t>
            </w:r>
          </w:p>
        </w:tc>
      </w:tr>
      <w:tr w:rsidR="00285B87" w14:paraId="26B41243" w14:textId="77777777">
        <w:trPr>
          <w:cantSplit/>
          <w:trHeight w:val="560"/>
        </w:trPr>
        <w:tc>
          <w:tcPr>
            <w:tcW w:w="700" w:type="dxa"/>
            <w:tcMar>
              <w:top w:w="0" w:type="dxa"/>
              <w:bottom w:w="0" w:type="dxa"/>
            </w:tcMar>
            <w:vAlign w:val="center"/>
          </w:tcPr>
          <w:p w14:paraId="37D44FAA" w14:textId="77777777" w:rsidR="00285B87" w:rsidRDefault="00285B87">
            <w:pPr>
              <w:keepNext/>
              <w:keepLines/>
              <w:spacing w:after="0" w:line="240" w:lineRule="auto"/>
            </w:pPr>
          </w:p>
        </w:tc>
        <w:tc>
          <w:tcPr>
            <w:tcW w:w="3180" w:type="dxa"/>
            <w:tcMar>
              <w:top w:w="0" w:type="dxa"/>
              <w:bottom w:w="0" w:type="dxa"/>
            </w:tcMar>
            <w:vAlign w:val="center"/>
          </w:tcPr>
          <w:p w14:paraId="67010C84" w14:textId="77777777" w:rsidR="00285B87" w:rsidRDefault="009C1AF2">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2E4A030A" w14:textId="77777777" w:rsidR="00285B87" w:rsidRDefault="009C1AF2">
            <w:pPr>
              <w:keepNext/>
              <w:keepLines/>
              <w:spacing w:after="0" w:line="240" w:lineRule="auto"/>
            </w:pPr>
            <w:r>
              <w:rPr>
                <w:sz w:val="18"/>
              </w:rPr>
              <w:t>P001</w:t>
            </w:r>
          </w:p>
        </w:tc>
        <w:tc>
          <w:tcPr>
            <w:tcW w:w="1860" w:type="dxa"/>
            <w:tcMar>
              <w:top w:w="0" w:type="dxa"/>
              <w:bottom w:w="0" w:type="dxa"/>
            </w:tcMar>
            <w:vAlign w:val="center"/>
          </w:tcPr>
          <w:p w14:paraId="68635D5D" w14:textId="77777777" w:rsidR="00285B87" w:rsidRDefault="009C1AF2">
            <w:pPr>
              <w:keepNext/>
              <w:keepLines/>
              <w:spacing w:after="0" w:line="240" w:lineRule="auto"/>
              <w:jc w:val="right"/>
            </w:pPr>
            <w:r>
              <w:rPr>
                <w:sz w:val="18"/>
              </w:rPr>
              <w:t>0,00</w:t>
            </w:r>
          </w:p>
        </w:tc>
        <w:tc>
          <w:tcPr>
            <w:tcW w:w="1860" w:type="dxa"/>
            <w:tcMar>
              <w:top w:w="0" w:type="dxa"/>
              <w:bottom w:w="0" w:type="dxa"/>
            </w:tcMar>
            <w:vAlign w:val="center"/>
          </w:tcPr>
          <w:p w14:paraId="4701A49B" w14:textId="77777777" w:rsidR="00285B87" w:rsidRDefault="009C1AF2">
            <w:pPr>
              <w:keepNext/>
              <w:keepLines/>
              <w:spacing w:after="0" w:line="240" w:lineRule="auto"/>
              <w:jc w:val="right"/>
            </w:pPr>
            <w:r>
              <w:rPr>
                <w:sz w:val="18"/>
              </w:rPr>
              <w:t>405.799,70</w:t>
            </w:r>
          </w:p>
        </w:tc>
        <w:tc>
          <w:tcPr>
            <w:tcW w:w="700" w:type="dxa"/>
            <w:tcMar>
              <w:top w:w="0" w:type="dxa"/>
              <w:bottom w:w="0" w:type="dxa"/>
            </w:tcMar>
            <w:vAlign w:val="center"/>
          </w:tcPr>
          <w:p w14:paraId="2514B6C3" w14:textId="77777777" w:rsidR="00285B87" w:rsidRDefault="009C1AF2">
            <w:pPr>
              <w:keepNext/>
              <w:keepLines/>
              <w:spacing w:after="0" w:line="240" w:lineRule="auto"/>
              <w:jc w:val="right"/>
            </w:pPr>
            <w:r>
              <w:rPr>
                <w:sz w:val="18"/>
              </w:rPr>
              <w:t>-</w:t>
            </w:r>
          </w:p>
        </w:tc>
      </w:tr>
    </w:tbl>
    <w:p w14:paraId="652D4963" w14:textId="77777777" w:rsidR="00285B87" w:rsidRDefault="00285B87">
      <w:pPr>
        <w:spacing w:after="0"/>
      </w:pPr>
    </w:p>
    <w:p w14:paraId="15654BE2" w14:textId="28C946D6" w:rsidR="00285B87" w:rsidRDefault="009C1AF2">
      <w:r>
        <w:t>Promjene u vrijednosti nefinancijske imovine u iznosu od 405.799,70 eura</w:t>
      </w:r>
      <w:r w:rsidR="00C62B15">
        <w:t>,</w:t>
      </w:r>
      <w:r>
        <w:t xml:space="preserve"> a odnose se na ispravak vrijednosti dugotrajne imovine koji se provodi krajem godine.</w:t>
      </w:r>
    </w:p>
    <w:p w14:paraId="0939828C" w14:textId="77777777" w:rsidR="00DB72E5" w:rsidRDefault="00DB72E5">
      <w:pPr>
        <w:keepNext/>
        <w:spacing w:line="240" w:lineRule="auto"/>
        <w:jc w:val="center"/>
        <w:rPr>
          <w:b/>
          <w:sz w:val="28"/>
        </w:rPr>
      </w:pPr>
    </w:p>
    <w:p w14:paraId="72B07EF0" w14:textId="5CDF9A91" w:rsidR="00285B87" w:rsidRDefault="009C1AF2">
      <w:pPr>
        <w:keepNext/>
        <w:spacing w:line="240" w:lineRule="auto"/>
        <w:jc w:val="center"/>
      </w:pPr>
      <w:r>
        <w:rPr>
          <w:b/>
          <w:sz w:val="28"/>
        </w:rPr>
        <w:t>Izvještaj o obvezama</w:t>
      </w:r>
    </w:p>
    <w:p w14:paraId="7802B213" w14:textId="77777777" w:rsidR="00285B87" w:rsidRDefault="009C1AF2">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5B87" w14:paraId="2050470F" w14:textId="77777777">
        <w:trPr>
          <w:cantSplit/>
        </w:trPr>
        <w:tc>
          <w:tcPr>
            <w:tcW w:w="700" w:type="dxa"/>
            <w:shd w:val="clear" w:color="auto" w:fill="E7F0F9"/>
            <w:tcMar>
              <w:top w:w="0" w:type="dxa"/>
              <w:bottom w:w="0" w:type="dxa"/>
            </w:tcMar>
            <w:vAlign w:val="center"/>
          </w:tcPr>
          <w:p w14:paraId="1A766A88"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E19EF9"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C9FCF"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B8A82" w14:textId="77777777" w:rsidR="00285B87" w:rsidRDefault="009C1A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7ED93E9" w14:textId="77777777" w:rsidR="00285B87" w:rsidRDefault="009C1AF2">
            <w:pPr>
              <w:keepNext/>
              <w:keepLines/>
              <w:spacing w:after="0" w:line="240" w:lineRule="auto"/>
              <w:jc w:val="center"/>
            </w:pPr>
            <w:r>
              <w:rPr>
                <w:b/>
                <w:sz w:val="18"/>
              </w:rPr>
              <w:t>Indeks (%)</w:t>
            </w:r>
          </w:p>
        </w:tc>
      </w:tr>
      <w:tr w:rsidR="00285B87" w14:paraId="4C3F2011" w14:textId="77777777">
        <w:trPr>
          <w:cantSplit/>
          <w:trHeight w:val="560"/>
        </w:trPr>
        <w:tc>
          <w:tcPr>
            <w:tcW w:w="700" w:type="dxa"/>
            <w:tcMar>
              <w:top w:w="0" w:type="dxa"/>
              <w:bottom w:w="0" w:type="dxa"/>
            </w:tcMar>
            <w:vAlign w:val="center"/>
          </w:tcPr>
          <w:p w14:paraId="42C2D620" w14:textId="77777777" w:rsidR="00285B87" w:rsidRDefault="00285B87">
            <w:pPr>
              <w:keepNext/>
              <w:keepLines/>
              <w:spacing w:after="0" w:line="240" w:lineRule="auto"/>
            </w:pPr>
          </w:p>
        </w:tc>
        <w:tc>
          <w:tcPr>
            <w:tcW w:w="3180" w:type="dxa"/>
            <w:tcMar>
              <w:top w:w="0" w:type="dxa"/>
              <w:bottom w:w="0" w:type="dxa"/>
            </w:tcMar>
            <w:vAlign w:val="center"/>
          </w:tcPr>
          <w:p w14:paraId="479D74FF" w14:textId="77777777" w:rsidR="00285B87" w:rsidRDefault="009C1AF2">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E9E3FA3" w14:textId="77777777" w:rsidR="00285B87" w:rsidRDefault="009C1AF2">
            <w:pPr>
              <w:keepNext/>
              <w:keepLines/>
              <w:spacing w:after="0" w:line="240" w:lineRule="auto"/>
            </w:pPr>
            <w:r>
              <w:rPr>
                <w:sz w:val="18"/>
              </w:rPr>
              <w:t>V006</w:t>
            </w:r>
          </w:p>
        </w:tc>
        <w:tc>
          <w:tcPr>
            <w:tcW w:w="1860" w:type="dxa"/>
            <w:tcMar>
              <w:top w:w="0" w:type="dxa"/>
              <w:bottom w:w="0" w:type="dxa"/>
            </w:tcMar>
            <w:vAlign w:val="center"/>
          </w:tcPr>
          <w:p w14:paraId="17FC4ABA" w14:textId="77777777" w:rsidR="00285B87" w:rsidRDefault="009C1AF2">
            <w:pPr>
              <w:keepNext/>
              <w:keepLines/>
              <w:spacing w:after="0" w:line="240" w:lineRule="auto"/>
              <w:jc w:val="right"/>
            </w:pPr>
            <w:r>
              <w:rPr>
                <w:sz w:val="18"/>
              </w:rPr>
              <w:t>838.644,71</w:t>
            </w:r>
          </w:p>
        </w:tc>
        <w:tc>
          <w:tcPr>
            <w:tcW w:w="700" w:type="dxa"/>
            <w:tcMar>
              <w:top w:w="0" w:type="dxa"/>
              <w:bottom w:w="0" w:type="dxa"/>
            </w:tcMar>
            <w:vAlign w:val="center"/>
          </w:tcPr>
          <w:p w14:paraId="44CB7472" w14:textId="77777777" w:rsidR="00285B87" w:rsidRDefault="009C1AF2">
            <w:pPr>
              <w:keepNext/>
              <w:keepLines/>
              <w:spacing w:after="0" w:line="240" w:lineRule="auto"/>
              <w:jc w:val="right"/>
            </w:pPr>
            <w:r>
              <w:rPr>
                <w:sz w:val="18"/>
              </w:rPr>
              <w:t>-</w:t>
            </w:r>
          </w:p>
        </w:tc>
      </w:tr>
    </w:tbl>
    <w:p w14:paraId="2CBE002C" w14:textId="77777777" w:rsidR="00285B87" w:rsidRDefault="00285B87">
      <w:pPr>
        <w:spacing w:after="0"/>
      </w:pPr>
    </w:p>
    <w:p w14:paraId="10196337" w14:textId="77777777" w:rsidR="00285B87" w:rsidRDefault="009C1AF2">
      <w:r>
        <w:t>Stanje obveza na kraju izvještajnog razdoblja iznosi 838.644,71 eura.</w:t>
      </w:r>
    </w:p>
    <w:p w14:paraId="38FFF68B" w14:textId="77777777" w:rsidR="00285B87" w:rsidRDefault="00285B87"/>
    <w:p w14:paraId="4EA209DD" w14:textId="77777777" w:rsidR="00285B87" w:rsidRDefault="009C1AF2">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85B87" w14:paraId="16AD57A0" w14:textId="77777777">
        <w:trPr>
          <w:cantSplit/>
        </w:trPr>
        <w:tc>
          <w:tcPr>
            <w:tcW w:w="700" w:type="dxa"/>
            <w:shd w:val="clear" w:color="auto" w:fill="E7F0F9"/>
            <w:tcMar>
              <w:top w:w="0" w:type="dxa"/>
              <w:bottom w:w="0" w:type="dxa"/>
            </w:tcMar>
            <w:vAlign w:val="center"/>
          </w:tcPr>
          <w:p w14:paraId="3961352F" w14:textId="77777777" w:rsidR="00285B87" w:rsidRDefault="009C1AF2">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421401" w14:textId="77777777" w:rsidR="00285B87" w:rsidRDefault="009C1AF2">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65297" w14:textId="77777777" w:rsidR="00285B87" w:rsidRDefault="009C1AF2">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B37BB" w14:textId="77777777" w:rsidR="00285B87" w:rsidRDefault="009C1AF2">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B5E8B6" w14:textId="77777777" w:rsidR="00285B87" w:rsidRDefault="009C1AF2">
            <w:pPr>
              <w:keepNext/>
              <w:keepLines/>
              <w:spacing w:after="0" w:line="240" w:lineRule="auto"/>
              <w:jc w:val="center"/>
            </w:pPr>
            <w:r>
              <w:rPr>
                <w:b/>
                <w:sz w:val="18"/>
              </w:rPr>
              <w:t>Indeks (%)</w:t>
            </w:r>
          </w:p>
        </w:tc>
      </w:tr>
      <w:tr w:rsidR="00285B87" w14:paraId="35D69D80" w14:textId="77777777">
        <w:trPr>
          <w:cantSplit/>
          <w:trHeight w:val="560"/>
        </w:trPr>
        <w:tc>
          <w:tcPr>
            <w:tcW w:w="700" w:type="dxa"/>
            <w:tcMar>
              <w:top w:w="0" w:type="dxa"/>
              <w:bottom w:w="0" w:type="dxa"/>
            </w:tcMar>
            <w:vAlign w:val="center"/>
          </w:tcPr>
          <w:p w14:paraId="13074FDF" w14:textId="77777777" w:rsidR="00285B87" w:rsidRDefault="00285B87">
            <w:pPr>
              <w:keepNext/>
              <w:keepLines/>
              <w:spacing w:after="0" w:line="240" w:lineRule="auto"/>
            </w:pPr>
          </w:p>
        </w:tc>
        <w:tc>
          <w:tcPr>
            <w:tcW w:w="3180" w:type="dxa"/>
            <w:tcMar>
              <w:top w:w="0" w:type="dxa"/>
              <w:bottom w:w="0" w:type="dxa"/>
            </w:tcMar>
            <w:vAlign w:val="center"/>
          </w:tcPr>
          <w:p w14:paraId="1A8FE113" w14:textId="77777777" w:rsidR="00285B87" w:rsidRDefault="009C1AF2">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CBA5F2F" w14:textId="77777777" w:rsidR="00285B87" w:rsidRDefault="009C1AF2">
            <w:pPr>
              <w:keepNext/>
              <w:keepLines/>
              <w:spacing w:after="0" w:line="240" w:lineRule="auto"/>
            </w:pPr>
            <w:r>
              <w:rPr>
                <w:sz w:val="18"/>
              </w:rPr>
              <w:t>V007</w:t>
            </w:r>
          </w:p>
        </w:tc>
        <w:tc>
          <w:tcPr>
            <w:tcW w:w="1860" w:type="dxa"/>
            <w:tcMar>
              <w:top w:w="0" w:type="dxa"/>
              <w:bottom w:w="0" w:type="dxa"/>
            </w:tcMar>
            <w:vAlign w:val="center"/>
          </w:tcPr>
          <w:p w14:paraId="34E25A47" w14:textId="77777777" w:rsidR="00285B87" w:rsidRDefault="009C1AF2">
            <w:pPr>
              <w:keepNext/>
              <w:keepLines/>
              <w:spacing w:after="0" w:line="240" w:lineRule="auto"/>
              <w:jc w:val="right"/>
            </w:pPr>
            <w:r>
              <w:rPr>
                <w:sz w:val="18"/>
              </w:rPr>
              <w:t>0,00</w:t>
            </w:r>
          </w:p>
        </w:tc>
        <w:tc>
          <w:tcPr>
            <w:tcW w:w="700" w:type="dxa"/>
            <w:tcMar>
              <w:top w:w="0" w:type="dxa"/>
              <w:bottom w:w="0" w:type="dxa"/>
            </w:tcMar>
            <w:vAlign w:val="center"/>
          </w:tcPr>
          <w:p w14:paraId="6AAE2537" w14:textId="77777777" w:rsidR="00285B87" w:rsidRDefault="009C1AF2">
            <w:pPr>
              <w:keepNext/>
              <w:keepLines/>
              <w:spacing w:after="0" w:line="240" w:lineRule="auto"/>
              <w:jc w:val="right"/>
            </w:pPr>
            <w:r>
              <w:rPr>
                <w:sz w:val="18"/>
              </w:rPr>
              <w:t>-</w:t>
            </w:r>
          </w:p>
        </w:tc>
      </w:tr>
    </w:tbl>
    <w:p w14:paraId="05650E45" w14:textId="77777777" w:rsidR="00285B87" w:rsidRDefault="00285B87">
      <w:pPr>
        <w:spacing w:after="0"/>
      </w:pPr>
    </w:p>
    <w:p w14:paraId="10E12D95" w14:textId="77777777" w:rsidR="00285B87" w:rsidRDefault="009C1AF2">
      <w:r>
        <w:t>Središnji registar osiguranika nema dospjelih obveza za izvještajno razdoblje.</w:t>
      </w:r>
    </w:p>
    <w:p w14:paraId="299E6FAB" w14:textId="77777777" w:rsidR="00285B87" w:rsidRDefault="00285B87"/>
    <w:p w14:paraId="3E2EB1FD" w14:textId="77777777" w:rsidR="00285B87" w:rsidRDefault="009C1AF2">
      <w:pPr>
        <w:keepNext/>
        <w:spacing w:line="240" w:lineRule="auto"/>
        <w:jc w:val="center"/>
      </w:pPr>
      <w:r>
        <w:rPr>
          <w:sz w:val="28"/>
        </w:rPr>
        <w:t>Bilješka 9.</w:t>
      </w:r>
    </w:p>
    <w:p w14:paraId="3E48C0FB" w14:textId="77777777" w:rsidR="0056041B" w:rsidRDefault="0056041B">
      <w:pPr>
        <w:spacing w:line="240" w:lineRule="auto"/>
        <w:jc w:val="both"/>
        <w:rPr>
          <w:b/>
        </w:rPr>
      </w:pPr>
    </w:p>
    <w:p w14:paraId="206EF999" w14:textId="09312AEF" w:rsidR="00285B87" w:rsidRDefault="009C1AF2">
      <w:pPr>
        <w:spacing w:line="240" w:lineRule="auto"/>
        <w:jc w:val="both"/>
      </w:pPr>
      <w:r>
        <w:rPr>
          <w:b/>
        </w:rPr>
        <w:t>EU izvještaj</w:t>
      </w:r>
    </w:p>
    <w:p w14:paraId="5C6A2F62" w14:textId="77777777" w:rsidR="00285B87" w:rsidRDefault="009C1AF2">
      <w:r>
        <w:t> </w:t>
      </w:r>
      <w:r>
        <w:br/>
        <w:t>Tekuće pomoći od institucija i tijela EU u iznosu 2.720,68 eura a odnose se na refundaciju troškova zrakoplovnih karata od strane Europske komisije. </w:t>
      </w:r>
    </w:p>
    <w:p w14:paraId="7B073D96" w14:textId="77777777" w:rsidR="00C62B15" w:rsidRDefault="00C62B15"/>
    <w:p w14:paraId="2E351CF8" w14:textId="77777777" w:rsidR="00C62B15" w:rsidRDefault="00C62B15"/>
    <w:p w14:paraId="464D021D" w14:textId="7CCB2396" w:rsidR="00C62B15" w:rsidRDefault="00C62B15">
      <w:r>
        <w:t>Zagreb, 26.01.2026. godine</w:t>
      </w:r>
    </w:p>
    <w:p w14:paraId="70A8A368" w14:textId="77777777" w:rsidR="00285B87" w:rsidRDefault="00285B87"/>
    <w:sectPr w:rsidR="00285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87"/>
    <w:rsid w:val="000E60D5"/>
    <w:rsid w:val="00285B87"/>
    <w:rsid w:val="004D39D2"/>
    <w:rsid w:val="0056041B"/>
    <w:rsid w:val="009C1AF2"/>
    <w:rsid w:val="00C62B15"/>
    <w:rsid w:val="00DB72E5"/>
    <w:rsid w:val="00F11E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9489"/>
  <w15:docId w15:val="{CDE775B2-4D8E-4381-871A-F9EBAC6B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 Mestrovic</dc:creator>
  <cp:lastModifiedBy>Zvonko Mestrovic</cp:lastModifiedBy>
  <cp:revision>4</cp:revision>
  <dcterms:created xsi:type="dcterms:W3CDTF">2026-01-24T10:35:00Z</dcterms:created>
  <dcterms:modified xsi:type="dcterms:W3CDTF">2026-01-26T09:32:00Z</dcterms:modified>
</cp:coreProperties>
</file>